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1080"/>
        <w:gridCol w:w="9288"/>
      </w:tblGrid>
      <w:tr>
        <w:tc>
          <w:tcPr>
            <w:tcW w:type="dxa" w:w="5112"/>
            <w:shd w:fill="E8F2F5"/>
          </w:tcPr>
          <w:p>
            <w:pPr>
              <w:jc w:val="center"/>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adaptive-learner-favicon-micro-mark-64px.png"/>
                          <pic:cNvPicPr/>
                        </pic:nvPicPr>
                        <pic:blipFill>
                          <a:blip r:embed="rId11"/>
                          <a:stretch>
                            <a:fillRect/>
                          </a:stretch>
                        </pic:blipFill>
                        <pic:spPr>
                          <a:xfrm>
                            <a:off x="0" y="0"/>
                            <a:ext cx="384048" cy="384048"/>
                          </a:xfrm>
                          <a:prstGeom prst="rect"/>
                        </pic:spPr>
                      </pic:pic>
                    </a:graphicData>
                  </a:graphic>
                </wp:inline>
              </w:drawing>
            </w:r>
          </w:p>
        </w:tc>
        <w:tc>
          <w:tcPr>
            <w:tcW w:type="dxa" w:w="5112"/>
            <w:shd w:fill="E8F2F5"/>
          </w:tcPr>
          <w:p>
            <w:r>
              <w:rPr>
                <w:b/>
                <w:color w:val="0A1F33"/>
                <w:sz w:val="30"/>
              </w:rPr>
              <w:t>Adaptive Learner</w:t>
            </w:r>
            <w:r>
              <w:rPr>
                <w:color w:val="64748B"/>
                <w:sz w:val="18"/>
              </w:rPr>
              <w:br/>
              <w:t>Plateforme collaborative de soutien aux élèves</w:t>
            </w:r>
          </w:p>
        </w:tc>
      </w:tr>
    </w:tbl>
    <w:p>
      <w:pPr>
        <w:pStyle w:val="Title"/>
      </w:pPr>
      <w:r>
        <w:t>FAQ de confiance de premier niveau</w:t>
      </w:r>
    </w:p>
    <w:p>
      <w:pPr>
        <w:jc w:val="left"/>
      </w:pPr>
      <w:r>
        <w:rPr>
          <w:b/>
          <w:color w:val="14B8A6"/>
          <w:sz w:val="22"/>
        </w:rPr>
        <w:t>Version 1.3 • Français (Canada) • Mise à jour bilingue du site public</w:t>
      </w:r>
    </w:p>
    <w:p>
      <w:r>
        <w:rPr>
          <w:b/>
        </w:rPr>
        <w:t xml:space="preserve">Objet. </w:t>
      </w:r>
      <w:r>
        <w:t>Fournir un résumé public, accessible et soigneusement délimité des sujets les plus souvent soulevés par les directions, les équipes de confidentialité et de sécurité, les responsables des TI, les praticiens, les équipes de mise en œuvre et les responsables de l’approvisionnement.</w:t>
      </w:r>
    </w:p>
    <w:tbl>
      <w:tblPr>
        <w:tblW w:type="auto" w:w="0"/>
        <w:tblLook w:firstColumn="1" w:firstRow="1" w:lastColumn="0" w:lastRow="0" w:noHBand="0" w:noVBand="1" w:val="04A0"/>
      </w:tblPr>
      <w:tblGrid>
        <w:gridCol w:w="10224"/>
      </w:tblGrid>
      <w:tr>
        <w:tc>
          <w:tcPr>
            <w:tcW w:type="dxa" w:w="10224"/>
            <w:shd w:fill="FAFAFC"/>
          </w:tcPr>
          <w:p>
            <w:r>
              <w:rPr>
                <w:b/>
                <w:color w:val="0A1F33"/>
              </w:rPr>
              <w:t xml:space="preserve">Position actuelle approuvée : </w:t>
            </w:r>
            <w:r>
              <w:t>prêt pour la mise en œuvre et offert pour une validation contrôlée par projet pilote. L’UAT représentative par rôle, les données probantes de pilotes payants, les clients de référence et les résultats éprouvés sur le marché restent à établir.</w:t>
            </w:r>
          </w:p>
        </w:tc>
      </w:tr>
    </w:tbl>
    <w:p>
      <w:pPr>
        <w:pStyle w:val="Heading1"/>
      </w:pPr>
      <w:r>
        <w:t>Comment utiliser cette FAQ</w:t>
      </w:r>
    </w:p>
    <w:p>
      <w:pPr>
        <w:pStyle w:val="ListBullet"/>
      </w:pPr>
      <w:r>
        <w:t>Les réponses décrivent la base approuvée du produit et du déploiement à un niveau public sécuritaire.</w:t>
      </w:r>
    </w:p>
    <w:p>
      <w:pPr>
        <w:pStyle w:val="ListBullet"/>
      </w:pPr>
      <w:r>
        <w:t>Les choix propres au client, à la région, aux fournisseurs, aux politiques de conservation et aux contrats sont confirmés pendant la diligence raisonnable et la mise en œuvre.</w:t>
      </w:r>
    </w:p>
    <w:p>
      <w:pPr>
        <w:pStyle w:val="ListBullet"/>
      </w:pPr>
      <w:r>
        <w:t>Le document ne constitue ni une certification, ni un avis juridique, ni une garantie de sécurité ou de disponibilité.</w:t>
      </w:r>
    </w:p>
    <w:p>
      <w:pPr>
        <w:pStyle w:val="ListBullet"/>
      </w:pPr>
      <w:r>
        <w:t>Les renseignements détaillés sur la topologie, les vulnérabilités, les comptes, les journaux et les configurations demeurent dans des canaux de diligence contrôlés.</w:t>
      </w:r>
    </w:p>
    <w:p>
      <w:pPr>
        <w:pStyle w:val="Heading1"/>
      </w:pPr>
      <w:r>
        <w:t>Déploiement et hébergement</w:t>
      </w:r>
    </w:p>
    <w:p>
      <w:pPr>
        <w:pStyle w:val="Heading2"/>
      </w:pPr>
      <w:r>
        <w:t>1. Comment Adaptive Learner est-il offert?</w:t>
      </w:r>
    </w:p>
    <w:p>
      <w:r>
        <w:t>La base est une application ASP.NET Core / Blazor sécurisée et accessible par navigateur, exécutée sur Linux derrière nginx et Kestrel, avec PostgreSQL comme système opérationnel de référence, une mémoire cache distribuée, un stockage d’objets versionné et un état durable des flux de travail et des traitements en arrière-plan. L’expérience de l’élève est d’abord conçue pour le Web adaptatif et la PWA.</w:t>
      </w:r>
    </w:p>
    <w:p>
      <w:pPr>
        <w:pStyle w:val="Heading2"/>
      </w:pPr>
      <w:r>
        <w:t>2. Où les données des clients sont-elles hébergées dans la base de production?</w:t>
      </w:r>
    </w:p>
    <w:p>
      <w:r>
        <w:t>La base de production approuvée utilise AWS dans une région AWS canadienne : les charges applicatives sur Amazon EC2 dans un Amazon VPC, PostgreSQL sur Amazon RDS for PostgreSQL, et les documents ou artefacts sur Amazon S3 avec chiffrement géré par AWS KMS. La région propre au client et le traitement par des fournisseurs externes sont confirmés pendant la diligence raisonnable et la contractualisation.</w:t>
      </w:r>
    </w:p>
    <w:p>
      <w:pPr>
        <w:pStyle w:val="Heading1"/>
      </w:pPr>
      <w:r>
        <w:t>Identité et accès</w:t>
      </w:r>
    </w:p>
    <w:p>
      <w:pPr>
        <w:pStyle w:val="Heading2"/>
      </w:pPr>
      <w:r>
        <w:t>3. Comment l’accès est-il contrôlé?</w:t>
      </w:r>
    </w:p>
    <w:p>
      <w:r>
        <w:t>Les autorisations de rôle sont précisées en temps réel selon le locataire, l’organisation, l’affectation à l’élève, le but de l’utilisation, la classification du dossier, le consentement, le mode d’autorité pour les mineurs, l’état d’archivage et les autres facteurs de politique applicables. L’attribution administrative des rôles repose sur un catalogue et est validée côté serveur.</w:t>
      </w:r>
    </w:p>
    <w:p>
      <w:pPr>
        <w:pStyle w:val="Heading2"/>
      </w:pPr>
      <w:r>
        <w:t>4. Chaque participant voit-il le même dossier d’élève?</w:t>
      </w:r>
    </w:p>
    <w:p>
      <w:r>
        <w:t>Non. Le produit sépare le contenu éducatif partagé, les renseignements sensibles sur le plan opérationnel, les dossiers professionnels restreints, les renseignements de gouvernance ou juridiques, les vues sécuritaires pour la famille, le contexte d’activité de l’élève et le matériel à accès restreint archivé.</w:t>
      </w:r>
    </w:p>
    <w:p>
      <w:pPr>
        <w:pStyle w:val="Heading1"/>
      </w:pPr>
      <w:r>
        <w:t>Gouvernance des données</w:t>
      </w:r>
    </w:p>
    <w:p>
      <w:pPr>
        <w:pStyle w:val="Heading2"/>
      </w:pPr>
      <w:r>
        <w:t>5. Comment les données des locataires sont-elles séparées?</w:t>
      </w:r>
    </w:p>
    <w:p>
      <w:r>
        <w:t>Les données opérationnelles, d’archives, de projection et commerciales appartenant au locataire portent la portée du locataire. L’exposition entre locataires est interdite, sauf pour les entités de gouvernance de plateforme ou partagées conçues explicitement, et l’isolement des locataires fait partie des essais de version.</w:t>
      </w:r>
    </w:p>
    <w:p>
      <w:pPr>
        <w:pStyle w:val="Heading1"/>
      </w:pPr>
      <w:r>
        <w:t>Gouvernance de l’IA</w:t>
      </w:r>
    </w:p>
    <w:p>
      <w:pPr>
        <w:pStyle w:val="Heading2"/>
      </w:pPr>
      <w:r>
        <w:t>6. Que fait l’IA?</w:t>
      </w:r>
    </w:p>
    <w:p>
      <w:r>
        <w:t>L’IA peut aider à produire des brouillons, des résumés, l’enrichissement de transcriptions, des recommandations, des explications, la récupération de procédures ou politiques approuvées et la rédaction de plans fondée sur des données probantes ou le raffinement de sections de plan. Elle n’est pas présentée comme un outil autonome de diagnostic ou de décision professionnelle.</w:t>
      </w:r>
    </w:p>
    <w:p>
      <w:pPr>
        <w:pStyle w:val="Heading2"/>
      </w:pPr>
      <w:r>
        <w:t>7. L’IA peut-elle publier un dossier d’élève ou modifier l’accès?</w:t>
      </w:r>
    </w:p>
    <w:p>
      <w:r>
        <w:t>Non. La publication officielle et les actions à incidence élevée demeurent soumises à l’examen humain et aux limites applicatives contrôlées par les politiques. Une proposition de planification par IA approuvée peut créer ou modifier un plan de soutien uniquement à l’état Brouillon; elle ne peut ni approuver ni publier le plan.</w:t>
      </w:r>
    </w:p>
    <w:p>
      <w:pPr>
        <w:pStyle w:val="Heading1"/>
      </w:pPr>
      <w:r>
        <w:t>Plans et planification assistée par l’IA</w:t>
      </w:r>
    </w:p>
    <w:p>
      <w:pPr>
        <w:pStyle w:val="Heading2"/>
      </w:pPr>
      <w:r>
        <w:t>8. Adaptive Learner prend-il en charge les ITP et les plans de soutien au comportement?</w:t>
      </w:r>
    </w:p>
    <w:p>
      <w:r>
        <w:t>Oui. La base actuelle prend en charge plusieurs plans simultanés et versionnés, notamment le plan général de soutien à l’élève, l’IEP (avec IPP comme alias contrôlé), l’ITP, le plan de soutien au comportement et les plans Autre ou définis par le locataire. Les schémas définis par le locataire sont versionnés, et les plans existants demeurent liés à la version du schéma utilisée lors de leur création.</w:t>
      </w:r>
    </w:p>
    <w:p>
      <w:pPr>
        <w:pStyle w:val="Heading2"/>
      </w:pPr>
      <w:r>
        <w:t>9. L’IA peut-elle créer ou personnaliser des plans à partir de diagnostics et de résultats de tests cliniques?</w:t>
      </w:r>
    </w:p>
    <w:p>
      <w:r>
        <w:t>Dans des limites professionnelles encadrées, la planification assistée par l’IA peut utiliser des résultats d’évaluation validés, des constatations professionnelles vérifiées comme un diagnostic ou une formulation fonctionnelle, et d’autres éléments autorisés du contexte de l’élève. Elle ne déduit ni ne crée de diagnostic à partir des résultats de tests; l’information diagnostique doit déjà exister comme constatation professionnelle vérifiée, et les recommandations liées aux données probantes doivent citer des sources présentes dans le contexte encadré.</w:t>
      </w:r>
    </w:p>
    <w:p>
      <w:pPr>
        <w:pStyle w:val="Heading1"/>
      </w:pPr>
      <w:r>
        <w:t>Accessibilité</w:t>
      </w:r>
    </w:p>
    <w:p>
      <w:pPr>
        <w:pStyle w:val="Heading2"/>
      </w:pPr>
      <w:r>
        <w:t>10. Quelle est la posture en matière d’accessibilité?</w:t>
      </w:r>
    </w:p>
    <w:p>
      <w:r>
        <w:t>L’accessibilité est une exigence du produit et de la marque qui couvre la structure sémantique, les attentes relatives au clavier et au focus, le contraste, les cibles tactiles, les profils d’élève et les essais par rôle. Le produit n’est pas présenté comme certifié de manière indépendante conforme aux WCAG tant que les essais représentatifs et toute révision indépendante requise ne sont pas terminés.</w:t>
      </w:r>
    </w:p>
    <w:p>
      <w:pPr>
        <w:pStyle w:val="Heading1"/>
      </w:pPr>
      <w:r>
        <w:t>Appareils des élèves</w:t>
      </w:r>
    </w:p>
    <w:p>
      <w:pPr>
        <w:pStyle w:val="Heading2"/>
      </w:pPr>
      <w:r>
        <w:t>11. L’élève a-t-il besoin d’une application mobile installée?</w:t>
      </w:r>
    </w:p>
    <w:p>
      <w:r>
        <w:t>Aucune application native n’est requise pour la base. L’élève peut utiliser une surface Web ou PWA adaptative lancée au moyen d’un code QR, d’un code court ou d’un lien profond à courte durée. Une application native est reportée, sauf si les projets pilotes démontrent un besoin précis en gestion des appareils mobiles, mode kiosque, notifications poussées, fonctionnement hors ligne intensif ou contrôle du matériel.</w:t>
      </w:r>
    </w:p>
    <w:p>
      <w:pPr>
        <w:pStyle w:val="Heading2"/>
      </w:pPr>
      <w:r>
        <w:t>12. Le produit peut-il fonctionner hors ligne?</w:t>
      </w:r>
    </w:p>
    <w:p>
      <w:r>
        <w:t>L’architecture prend en charge une capacité hors ligne sélective pour les activités approuvées de l’élève ou de soutien, la mise en file locale et la synchronisation. Seules les données minimales nécessaires doivent être mises en cache; les dossiers restreints et les flux administratifs complexes demeurent en ligne et sous contrôle du serveur.</w:t>
      </w:r>
    </w:p>
    <w:p>
      <w:pPr>
        <w:pStyle w:val="Heading1"/>
      </w:pPr>
      <w:r>
        <w:t>Approvisionnement</w:t>
      </w:r>
    </w:p>
    <w:p>
      <w:pPr>
        <w:pStyle w:val="Heading2"/>
      </w:pPr>
      <w:r>
        <w:t>13. Le produit a-t-il terminé la validation d’acceptation par les clients?</w:t>
      </w:r>
    </w:p>
    <w:p>
      <w:r>
        <w:t>Pas encore. La position approuvée est : prêt pour la mise en œuvre et offert pour une validation contrôlée par projet pilote. L’UAT représentative par rôle, les données probantes de pilotes payants, les clients de référence et les résultats éprouvés sur le marché restent à établir.</w:t>
      </w:r>
    </w:p>
    <w:p>
      <w:pPr>
        <w:pStyle w:val="Heading2"/>
      </w:pPr>
      <w:r>
        <w:t>14. Quelles preuves peuvent être fournies pendant la diligence raisonnable?</w:t>
      </w:r>
    </w:p>
    <w:p>
      <w:r>
        <w:t>Sous réserve de la confidentialité et de la pertinence, la diligence peut comprendre des résumés de l’architecture et des flux de données, l’approche d’essais fonctionnels et d’UAT, les preuves de déploiement et de reprise, l’index des procédures et des contrôles, les renseignements sur les fournisseurs et sous-traitants, les descriptions des contrôles d’accès, les contrôles de gouvernance de l’IA et la documentation de mise en œuvre propre au client.</w:t>
      </w:r>
    </w:p>
    <w:p>
      <w:pPr>
        <w:pStyle w:val="Heading1"/>
      </w:pPr>
      <w:r>
        <w:t>Conformité</w:t>
      </w:r>
    </w:p>
    <w:p>
      <w:pPr>
        <w:pStyle w:val="Heading2"/>
      </w:pPr>
      <w:r>
        <w:t>15. Quels cadres de confidentialité et juridiques Adaptive Learner est-il conçu pour soutenir?</w:t>
      </w:r>
    </w:p>
    <w:p>
      <w:r>
        <w:t>La plateforme est conçue pour soutenir les déploiements assujettis aux exigences canadiennes et saskatchewanaises applicables en matière de confidentialité, de gestion de l’information et de transactions électroniques. L’applicabilité dépend du client, des données, du but et du déploiement; la conformité ne découle pas de l’architecture logicielle seule et exige, selon le cas, un examen contractuel, stratégique, opérationnel et juridique.</w:t>
      </w:r>
    </w:p>
    <w:p>
      <w:pPr>
        <w:pStyle w:val="Heading1"/>
      </w:pPr>
      <w:r>
        <w:t>Limites et suivi</w:t>
      </w:r>
    </w:p>
    <w:p>
      <w:pPr>
        <w:pStyle w:val="ListBullet"/>
      </w:pPr>
      <w:r>
        <w:t>Aucune donnée réelle sur un élève ne doit être transmise par le site public, un formulaire de démonstration ou une demande de diligence.</w:t>
      </w:r>
    </w:p>
    <w:p>
      <w:pPr>
        <w:pStyle w:val="ListBullet"/>
      </w:pPr>
      <w:r>
        <w:t>L’IA est présentée comme un outil d’assistance : elle ne publie pas de façon autonome, ne déduit pas un diagnostic à partir de résultats de tests et ne modifie pas les droits d’accès sans contrôle humain et politique.</w:t>
      </w:r>
    </w:p>
    <w:p>
      <w:pPr>
        <w:pStyle w:val="ListBullet"/>
      </w:pPr>
      <w:r>
        <w:t>Les preuves détaillées peuvent être fournies dans un canal de diligence contrôlé, sous réserve de la confidentialité et de la pertinence.</w:t>
      </w:r>
    </w:p>
    <w:p>
      <w:pPr>
        <w:pStyle w:val="ListBullet"/>
      </w:pPr>
      <w:r>
        <w:t>Pour une question propre à votre organisation, utilisez les canaux publics de confidentialité, de sécurité ou d’approvisionnement indiqués sur le site Insight Matrix.</w:t>
      </w:r>
    </w:p>
    <w:sectPr w:rsidR="00FC693F" w:rsidRPr="0006063C" w:rsidSect="00034616">
      <w:headerReference w:type="default" r:id="rId9"/>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 xml:space="preserve">FAQ de confiance de premier niveau v1.3 • Français (Canada)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4748B"/>
        <w:sz w:val="16"/>
      </w:rPr>
      <w:t>INSIGHT MATRIX  •  ADAPTIVE LEARNER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0A1F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0A1F33"/>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2563E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0A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Learner – FAQ de confiance de premier niveau v1.3 – Français (Canada)</dc:title>
  <dc:subject>Résumé public de confiance, de gouvernance, de sécurité, d’IA, d’accessibilité et d’approvisionnement</dc:subject>
  <dc:creator>Insight Matrix</dc:creator>
  <cp:keywords>Adaptive Learner, Insight Matrix, FAQ, confiance, confidentialité, sécurité, IA, accessibilité, Canada</cp:keywords>
  <dc:description>generated by python-docx</dc:description>
  <cp:lastModifiedBy/>
  <cp:revision>1</cp:revision>
  <dcterms:created xsi:type="dcterms:W3CDTF">2013-12-23T23:15:00Z</dcterms:created>
  <dcterms:modified xsi:type="dcterms:W3CDTF">2013-12-23T23:15:00Z</dcterms:modified>
  <cp:category/>
</cp:coreProperties>
</file>