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ectPr w:rsidR="00FC693F" w:rsidRPr="0006063C" w:rsidSect="00034616">
      <w:pgSz w:w="12240" w:h="15840"/>
      <w:pgMar w:top="1008" w:right="1080" w:bottom="936" w:left="1080" w:header="720" w:footer="720" w:gutter="0"/>
      <w:cols w:space="720"/>
      <w:docGrid w:linePitch="360"/>
    </w:sectPr>
    <w:p>
      <w:pPr>
        <w:jc w:val="left"/>
      </w:pPr>
      <w:r>
        <w:drawing>
          <wp:inline xmlns:a="http://schemas.openxmlformats.org/drawingml/2006/main" xmlns:pic="http://schemas.openxmlformats.org/drawingml/2006/picture">
            <wp:extent cx="2057400" cy="617220"/>
            <wp:docPr id="1" name="Picture 1" descr="Adaptive Learner logo" title="Adaptive Learner"/>
            <wp:cNvGraphicFramePr>
              <a:graphicFrameLocks noChangeAspect="1"/>
            </wp:cNvGraphicFramePr>
            <a:graphic>
              <a:graphicData uri="http://schemas.openxmlformats.org/drawingml/2006/picture">
                <pic:pic>
                  <pic:nvPicPr>
                    <pic:cNvPr id="0" name="adaptive-learner-primary-horizontal-full-color-1200px.png"/>
                    <pic:cNvPicPr/>
                  </pic:nvPicPr>
                  <pic:blipFill>
                    <a:blip r:embed="rId9"/>
                    <a:stretch>
                      <a:fillRect/>
                    </a:stretch>
                  </pic:blipFill>
                  <pic:spPr>
                    <a:xfrm>
                      <a:off x="0" y="0"/>
                      <a:ext cx="2057400" cy="617220"/>
                    </a:xfrm>
                    <a:prstGeom prst="rect"/>
                  </pic:spPr>
                </pic:pic>
              </a:graphicData>
            </a:graphic>
          </wp:inline>
        </w:drawing>
      </w:r>
    </w:p>
    <w:p>
      <w:pPr>
        <w:pStyle w:val="Title"/>
      </w:pPr>
      <w:r>
        <w:rPr>
          <w:color w:val="0F172A"/>
        </w:rPr>
        <w:t>Adaptive Learner – FAQ de confiance de premier niveau</w:t>
      </w:r>
    </w:p>
    <w:p>
      <w:r>
        <w:rPr>
          <w:b/>
          <w:color w:val="0F766E"/>
          <w:sz w:val="26"/>
        </w:rPr>
        <w:t>Hébergement, accès, données, sécurité, continuité du locataire Famille, portabilité, rapports, interopérabilité, gouvernance de l’IA native, licences, projets pilotes payants, accessibilité et approvisionnement</w:t>
      </w:r>
    </w:p>
    <w:p>
      <w:r>
        <w:rPr>
          <w:b/>
          <w:color w:val="475569"/>
        </w:rPr>
        <w:t>Version 1.8 • 2026-08-29</w:t>
      </w:r>
    </w:p>
    <w:p>
      <w:pPr>
        <w:jc w:val="center"/>
      </w:pPr>
      <w:r>
        <w:rPr>
          <w:b/>
          <w:color w:val="475569"/>
        </w:rPr>
        <w:t>LE BON ÉLÈVE. LES BONNES PERSONNES. LA BONNE ACTION. LES BONNES DONNÉES PROBANTES.</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10080"/>
            <w:gridSpan w:val="2"/>
          </w:tcPr>
          <w:p>
            <w:r>
              <w:t>Résumé public de premier niveau. Il ne constitue ni une certification, ni un avis juridique, ni une offre de prix contraignante.</w:t>
            </w:r>
          </w:p>
        </w:tc>
      </w:tr>
      <w:tr>
        <w:tc>
          <w:tcPr>
            <w:tcW w:type="dxa" w:w="5040"/>
          </w:tcPr>
          <w:p>
            <w:r>
              <w:t>Produit</w:t>
            </w:r>
          </w:p>
        </w:tc>
        <w:tc>
          <w:tcPr>
            <w:tcW w:type="dxa" w:w="5040"/>
          </w:tcPr>
          <w:p>
            <w:r>
              <w:t>Plateforme de collaboration Adaptive Learner</w:t>
            </w:r>
          </w:p>
        </w:tc>
      </w:tr>
      <w:tr>
        <w:tc>
          <w:tcPr>
            <w:tcW w:type="dxa" w:w="5040"/>
          </w:tcPr>
          <w:p>
            <w:r>
              <w:t>Position de confiance</w:t>
            </w:r>
          </w:p>
        </w:tc>
        <w:tc>
          <w:tcPr>
            <w:tcW w:type="dxa" w:w="5040"/>
          </w:tcPr>
          <w:p>
            <w:r>
              <w:t>IA native. Gouvernée par l’humain. Les données du client demeurent sous le contrôle du client.</w:t>
            </w:r>
          </w:p>
        </w:tc>
      </w:tr>
      <w:tr>
        <w:tc>
          <w:tcPr>
            <w:tcW w:type="dxa" w:w="5040"/>
          </w:tcPr>
          <w:p>
            <w:r>
              <w:t>Version du produit de référence</w:t>
            </w:r>
          </w:p>
        </w:tc>
        <w:tc>
          <w:tcPr>
            <w:tcW w:type="dxa" w:w="5040"/>
          </w:tcPr>
          <w:p>
            <w:r>
              <w:t>Solution Beta v5.20.fte-p8</w:t>
            </w:r>
          </w:p>
        </w:tc>
      </w:tr>
      <w:tr>
        <w:tc>
          <w:tcPr>
            <w:tcW w:type="dxa" w:w="5040"/>
          </w:tcPr>
          <w:p>
            <w:r>
              <w:t>Portée</w:t>
            </w:r>
          </w:p>
        </w:tc>
        <w:tc>
          <w:tcPr>
            <w:tcW w:type="dxa" w:w="5040"/>
          </w:tcPr>
          <w:p>
            <w:r>
              <w:t>Information de diligence de premier niveau; les détails contractuels et propres au déploiement sont confirmés pendant l’évaluation.</w:t>
            </w:r>
          </w:p>
        </w:tc>
      </w:tr>
    </w:tbl>
    <w:p>
      <w:r>
        <w:t>Cette FAQ répond aux questions des acheteurs sur la continuité du locataire Famille, l’autorité des sources, le transfert en boucle fermée, les licences commerciales et les projets pilotes payants, ainsi que sur l’hébergement, l’identité, le cycle de vie des données, la portabilité, les rapports contrôlés, l’interopérabilité, l’accessibilité et l’approvisionnement.</w:t>
      </w:r>
    </w:p>
    <w:p>
      <w:pPr>
        <w:pStyle w:val="Heading1"/>
      </w:pPr>
      <w:r>
        <w:t>Déploiement et hébergement</w:t>
      </w:r>
    </w:p>
    <w:p>
      <w:r>
        <w:rPr>
          <w:b/>
          <w:color w:val="0F172A"/>
        </w:rPr>
        <w:t>Comment Adaptive Learner est-il livré?</w:t>
      </w:r>
    </w:p>
    <w:p>
      <w:r>
        <w:t>La base est une application sécurisée ASP.NET Core / Blazor accessible par navigateur, exécutée sous Linux derrière nginx et Kestrel, avec PostgreSQL comme système opérationnel de référence, un cache distribué, un stockage d’objets versionné et un état durable pour les flux de travail et traitements en arrière-plan. L’expérience de l’élève est d’abord conçue pour le Web adaptatif/PWA.</w:t>
      </w:r>
    </w:p>
    <w:p>
      <w:r>
        <w:rPr>
          <w:b/>
          <w:color w:val="0F172A"/>
        </w:rPr>
        <w:t>Où les données des clients sont-elles hébergées dans la base de production?</w:t>
      </w:r>
    </w:p>
    <w:p>
      <w:r>
        <w:t>La base de production approuvée utilise AWS dans une région canadienne d’AWS : les charges applicatives sur Amazon EC2 dans un Amazon VPC, PostgreSQL sur Amazon RDS for PostgreSQL et les documents/artefacts sur Amazon S3 avec chiffrement géré par AWS KMS. La région propre au client et les détails de traitement des fournisseurs externes sont confirmés pendant la diligence et la contractualisation.</w:t>
      </w:r>
    </w:p>
    <w:p>
      <w:pPr>
        <w:pStyle w:val="Heading1"/>
      </w:pPr>
      <w:r>
        <w:t>Identité et accès</w:t>
      </w:r>
    </w:p>
    <w:p>
      <w:r>
        <w:rPr>
          <w:b/>
          <w:color w:val="0F172A"/>
        </w:rPr>
        <w:t>Comment l’accès est-il contrôlé?</w:t>
      </w:r>
    </w:p>
    <w:p>
      <w:r>
        <w:t>Les permissions de rôle sont affinées à l’exécution selon le locataire, l’organisation, l’affectation à l’élève, le but d’utilisation, la classification du dossier, le consentement, le mode d’autorité pour mineur, l’état d’archivage et les autres paramètres de politique applicables. L’attribution des rôles administratifs est fondée sur un catalogue et validée côté serveur.</w:t>
      </w:r>
    </w:p>
    <w:p>
      <w:r>
        <w:rPr>
          <w:b/>
          <w:color w:val="0F172A"/>
        </w:rPr>
        <w:t>Tous les participants voient-ils le même dossier d’élève?</w:t>
      </w:r>
    </w:p>
    <w:p>
      <w:r>
        <w:t>Non. Le produit sépare le contenu éducatif partagé, l’information opérationnelle sensible, les dossiers professionnels restreints, l’information de gouvernance ou juridique, les vues sécuritaires pour la famille, le contexte d’activité de l’élève et le matériel à accès restreint en archive.</w:t>
      </w:r>
    </w:p>
    <w:p>
      <w:r>
        <w:rPr>
          <w:b/>
          <w:color w:val="0F172A"/>
        </w:rPr>
        <w:t>Où les utilisateurs gèrent-ils leur mot de passe ou leur compte de connexion?</w:t>
      </w:r>
    </w:p>
    <w:p>
      <w:r>
        <w:t>Dans les déploiements de production utilisant une identité externe, le fournisseur d’identité configuré gère le cycle de vie des justificatifs. Adaptive Learner affiche l’état authentifié du compte et de la connexion et peut offrir un transfert HTTPS seulement vers le portail approuvé de gestion du compte; il ne crée pas une deuxième surface locale de gestion des mots de passe pour ces utilisateurs. Les comptes de démonstration TestUAT demeurent gérés centralement par l’ensemencement.</w:t>
      </w:r>
    </w:p>
    <w:p>
      <w:pPr>
        <w:pStyle w:val="Heading1"/>
      </w:pPr>
      <w:r>
        <w:t>Gouvernance des données</w:t>
      </w:r>
    </w:p>
    <w:p>
      <w:r>
        <w:rPr>
          <w:b/>
          <w:color w:val="0F172A"/>
        </w:rPr>
        <w:t>Comment les données des locataires sont-elles séparées?</w:t>
      </w:r>
    </w:p>
    <w:p>
      <w:r>
        <w:t>Les données opérationnelles, d’archive, de projection et commerciales appartenant au locataire portent la portée du locataire. L’exposition inter-locataires est interdite sauf pour les entités explicitement conçues de gouvernance de plateforme, de corrélation ou d’échange gouverné, et l’isolation des locataires fait partie des essais de version.</w:t>
      </w:r>
    </w:p>
    <w:p>
      <w:r>
        <w:rPr>
          <w:b/>
          <w:color w:val="0F172A"/>
        </w:rPr>
        <w:t>À qui appartiennent les données du client et de l’élève?</w:t>
      </w:r>
    </w:p>
    <w:p>
      <w:r>
        <w:t>Entre chaque client et Adaptive Learner, le client conserve la propriété et le contrôle des Données du client dans son locataire, sous réserve du droit applicable et des droits individuels. Adaptive Learner et ses concédants conservent la propriété de la plateforme, du logiciel, de l’architecture, des flux de travail génériques, des modèles et de la propriété intellectuelle connexe. Un locataire Famille ou destinataire peut conserver une copie autorisée d’un dossier provenant d’une autre source sans devenir l’autorité du dossier source; l’autorité et la provenance de la source demeurent explicites.</w:t>
      </w:r>
    </w:p>
    <w:p>
      <w:r>
        <w:rPr>
          <w:b/>
          <w:color w:val="0F172A"/>
        </w:rPr>
        <w:t>Comment les données du client sont-elles gérées?</w:t>
      </w:r>
    </w:p>
    <w:p>
      <w:r>
        <w:t>Les Données du client sont délimitées par locataire, classifiées et traitées au moyen de contrôles d’accès imposés côté serveur, façonnés par le rôle, l’affectation à l’élève, le but d’utilisation, la classe de dossier, le consentement ou l’autorité et l’état du cycle de vie. Les dossiers importants conservent leur lignée de source, leurs versions et leurs preuves d’audit ou de provenance. L’IA reçoit uniquement le contexte approuvé et minimisé par la limite d’orchestration gouvernée.</w:t>
      </w:r>
    </w:p>
    <w:p>
      <w:r>
        <w:rPr>
          <w:b/>
          <w:color w:val="0F172A"/>
        </w:rPr>
        <w:t>Comment les données sont-elles conservées et archivées?</w:t>
      </w:r>
    </w:p>
    <w:p>
      <w:r>
        <w:t>La conservation est gouvernée par la classe de données, la politique du client, les exigences juridictionnelles, les obligations de conservation légale et le contrat. L’archivage est un état gouverné du cycle de vie : les élèves, identités et artefacts archivés quittent les espaces actifs normaux et passent derrière un accès d’archive plus strict, tandis que l’historique et l’attribution autorisés demeurent récupérables.</w:t>
      </w:r>
    </w:p>
    <w:p>
      <w:r>
        <w:rPr>
          <w:b/>
          <w:color w:val="0F172A"/>
        </w:rPr>
        <w:t>Comment les données sont-elles supprimées ou anonymisées?</w:t>
      </w:r>
    </w:p>
    <w:p>
      <w:r>
        <w:t>Lorsque la suppression est permise et approuvée, la plateforme prend en charge une disposition gouvernée qui peut supprimer ou anonymiser les données appartenant au locataire tout en conservant les dossiers qui doivent légalement ou contractuellement demeurer, notamment les preuves de conservation légale, de gouvernance, commerciales, de continuité inter-locataires ou de référence partagée. Les actions destructives sont reprises de manière contrôlée, étayées par des preuves et réconciliées indépendamment.</w:t>
      </w:r>
    </w:p>
    <w:p>
      <w:r>
        <w:rPr>
          <w:b/>
          <w:color w:val="0F172A"/>
        </w:rPr>
        <w:t>Que se passe-t-il avec mes données lorsque je quitte le service?</w:t>
      </w:r>
    </w:p>
    <w:p>
      <w:r>
        <w:t>La sortie est un cycle de vie contrôlé du locataire, et non une simple désactivation de compte. Le processus inventorie et classifie les données, suspend les nouvelles activités, crée une exportation immuable avec preuves, applique les décisions approuvées de conservation et de maintien légal, exécute les dispositions de suppression, d’anonymisation ou de conservation, puis effectue une réconciliation indépendante. Les dossiers de continuité inter-locataires sont conservés ou détachés selon les responsabilités partagées de la source et de la destination au lieu d’être supprimés silencieusement avec un seul locataire.</w:t>
      </w:r>
    </w:p>
    <w:p>
      <w:pPr>
        <w:pStyle w:val="Heading1"/>
      </w:pPr>
      <w:r>
        <w:t>Gouvernance de l’IA</w:t>
      </w:r>
    </w:p>
    <w:p>
      <w:r>
        <w:rPr>
          <w:b/>
          <w:color w:val="0F172A"/>
        </w:rPr>
        <w:t>Que fait l’IA?</w:t>
      </w:r>
    </w:p>
    <w:p>
      <w:r>
        <w:t>Adaptive Learner est une plateforme à IA native : l’IA gouvernée est intégrée à l’aide système, la rédaction et la révision, l’enrichissement de transcriptions, les recommandations adaptatives, la synthèse des progrès et données probantes, l’assistance à l’évaluation, la préparation de conférences de cas, la rédaction narrative de rapports et l’examen des opérations ou de la gouvernance. Les sorties demeurent fondées sur les sources et délimitées au contexte et au flux autorisés.</w:t>
      </w:r>
    </w:p>
    <w:p>
      <w:r>
        <w:rPr>
          <w:b/>
          <w:color w:val="0F172A"/>
        </w:rPr>
        <w:t>L’IA peut-elle publier un dossier d’élève ou modifier l’accès?</w:t>
      </w:r>
    </w:p>
    <w:p>
      <w:r>
        <w:t>Non. IA native ne signifie pas autorité autonome. La publication officielle et les actions à fort impact demeurent soumises à l’examen humain et aux limites applicatives contrôlées par les politiques. Pour la planification assistée par IA, une proposition approuvée peut créer ou modifier un plan uniquement à l’état Brouillon; elle ne peut ni l’approuver ni le publier. L’IA ne diagnostique pas de manière autonome, ne modifie pas l’accès et ne prend pas de décisions juridiques, de confidentialité ou de conformité.</w:t>
      </w:r>
    </w:p>
    <w:p>
      <w:r>
        <w:rPr>
          <w:b/>
          <w:color w:val="0F172A"/>
        </w:rPr>
        <w:t>Le fournisseur OpenAI conserve-t-il les données?</w:t>
      </w:r>
    </w:p>
    <w:p>
      <w:r>
        <w:t>L’intégration actuelle d’Adaptive Learner à l’API Responses d’OpenAI est configurée pour envoyer les requêtes ordinaires avec store:false afin que l’état applicatif de la réponse ne soit pas intentionnellement conservé pour une récupération ultérieure par l’API Responses. OpenAI indique que les entrées et sorties de l’API ne servent pas à entraîner ou améliorer ses modèles par défaut. Toutefois, store:false n’équivaut pas à Zero Data Retention : OpenAI peut conserver par défaut le contenu client dans les journaux de surveillance des abus jusqu’à 30 jours, sauf si des contrôles admissibles de Modified Abuse Monitoring ou Zero Data Retention sont approuvés. Certains points de terminaison et certaines fonctionnalités ont leurs propres exigences de stockage. Pour chaque déploiement client, le point de terminaison, le modèle et les fonctionnalités approuvés, les contrôles de conservation, la configuration de résidence/traitement des données, les modalités contractuelles/DPA et les sous-traitants applicables doivent être confirmés avant l’utilisation en production.</w:t>
      </w:r>
    </w:p>
    <w:p>
      <w:pPr>
        <w:pStyle w:val="Heading1"/>
      </w:pPr>
      <w:r>
        <w:t>Plans et planification assistée par IA</w:t>
      </w:r>
    </w:p>
    <w:p>
      <w:r>
        <w:rPr>
          <w:b/>
          <w:color w:val="0F172A"/>
        </w:rPr>
        <w:t>Adaptive Learner prend-il en charge les ITP et les plans de soutien comportemental?</w:t>
      </w:r>
    </w:p>
    <w:p>
      <w:r>
        <w:t>Oui. La base actuelle prend en charge plusieurs plans concurrents et versionnés, notamment le Plan général de soutien de l’élève, l’IEP (avec IPP comme alias contrôlé), l’ITP, le Plan de soutien comportemental et les plans Autre ou définis par le locataire. Les schémas définis par le locataire sont versionnés et les plans existants demeurent liés à la version du schéma utilisée lors de leur création.</w:t>
      </w:r>
    </w:p>
    <w:p>
      <w:r>
        <w:rPr>
          <w:b/>
          <w:color w:val="0F172A"/>
        </w:rPr>
        <w:t>L’IA peut-elle créer ou personnaliser des plans à partir de diagnostics et de résultats de tests cliniques?</w:t>
      </w:r>
    </w:p>
    <w:p>
      <w:r>
        <w:t>Dans des limites professionnelles gouvernées, la planification assistée par IA peut utiliser des résultats d’évaluation validés, des constatations professionnelles vérifiées comme un diagnostic ou une formulation fonctionnelle, et d’autres contextes autorisés de l’élève. Elle n’infère ni ne crée un diagnostic à partir de résultats de tests; le diagnostic doit déjà exister comme constatation professionnelle vérifiée et les recommandations liées aux preuves doivent référencer des sources présentes dans le contexte gouverné.</w:t>
      </w:r>
    </w:p>
    <w:p>
      <w:pPr>
        <w:pStyle w:val="Heading1"/>
      </w:pPr>
      <w:r>
        <w:t>Continuité et portabilité de l’élève</w:t>
      </w:r>
    </w:p>
    <w:p>
      <w:r>
        <w:rPr>
          <w:b/>
          <w:color w:val="0F172A"/>
        </w:rPr>
        <w:t>Que se passe-t-il lorsqu’un élève passe à un autre locataire Adaptive Learner?</w:t>
      </w:r>
    </w:p>
    <w:p>
      <w:r>
        <w:t>Adaptive Learner prend en charge un flux gouverné de transfert du locataire A au locataire B. Le locataire source prépare et approuve un ensemble canonique minimal nécessaire, le locataire de destination valide l’ensemble et le destinataire prévu, apparie ou crée le contexte de l’élève à l’aide d’identifiants gouvernés, importe les dossiers autorisés comme historique immuable avec provenance de source, rétablit l’autorité et le consentement courants, puis crée de nouveaux travaux appartenant à la destination selon les besoins. Le dossier source n’est pas déplacé en modifiant TenantId.</w:t>
      </w:r>
    </w:p>
    <w:p>
      <w:r>
        <w:rPr>
          <w:b/>
          <w:color w:val="0F172A"/>
        </w:rPr>
        <w:t>Que se passe-t-il si l’élève rejoint une organisation qui n’utilise pas Adaptive Learner?</w:t>
      </w:r>
    </w:p>
    <w:p>
      <w:r>
        <w:t>Un locataire source autorisé peut émettre un ensemble de transition contrôlé comprenant du matériel de continuité lisible par les personnes et des dossiers structurés lisibles par machine selon la portée de divulgation approuvée. L’ensemble demeure lié à son destinataire, à son but, à son manifeste et à ses vérifications d’intégrité. L’organisation destinataire n’a pas besoin d’Adaptive Learner pour lire le matériel destiné aux personnes.</w:t>
      </w:r>
    </w:p>
    <w:p>
      <w:r>
        <w:rPr>
          <w:b/>
          <w:color w:val="0F172A"/>
        </w:rPr>
        <w:t>Le consentement ou l’autorité du tuteur se transfèrent-ils automatiquement au nouveau locataire?</w:t>
      </w:r>
    </w:p>
    <w:p>
      <w:r>
        <w:t>Non. Le consentement et l’autorité du locataire source peuvent être inclus comme preuve historique lorsqu’ils sont autorisés, mais ils ne confèrent pas d’autorité courante au locataire de destination. Le locataire destinataire doit établir sa propre autorité actuelle, ses consentements, ses affectations de personnel et son but d’utilisation avant de poursuivre les actions de soutien courantes.</w:t>
      </w:r>
    </w:p>
    <w:p>
      <w:r>
        <w:rPr>
          <w:b/>
          <w:color w:val="0F172A"/>
        </w:rPr>
        <w:t>Comment l’historique transféré est-il protégé contre la réécriture?</w:t>
      </w:r>
    </w:p>
    <w:p>
      <w:r>
        <w:t>Les dossiers importés reçoivent des identifiants appartenant au locataire de destination et conservent la provenance du locataire source, de l’élève source, du dossier source, de sa version, de son empreinte, du dossier de transfert et de l’importation. Les plans publiés et autres dossiers historiques du locataire source demeurent immuables. La continuité du soutien crée de nouveaux travaux appartenant au locataire de destination plutôt que de modifier l’historique du locataire source.</w:t>
      </w:r>
    </w:p>
    <w:p>
      <w:r>
        <w:rPr>
          <w:b/>
          <w:color w:val="0F172A"/>
        </w:rPr>
        <w:t>Que se passe-t-il si un locataire-école fait ensuite partie d’un locataire de division ou de district?</w:t>
      </w:r>
    </w:p>
    <w:p>
      <w:r>
        <w:t>Adaptive Learner prend en charge une consolidation gouvernée d’une école vers une division ou un district. L’ancien locataire-école ne devient pas un locataire enfant imbriqué et ses dossiers ne sont pas déplacés en réécrivant les clés du locataire. Le flux établit les correspondances de l’école de destination, importe l’historique autorisé avec provenance, réconcilie la configuration, les intégrations et la posture commerciale, vérifie une transition sans écart inexpliqué, active la configuration appartenant à la destination et archive le locataire source avec des preuves de reprise et de version.</w:t>
      </w:r>
    </w:p>
    <w:p>
      <w:pPr>
        <w:pStyle w:val="Heading1"/>
      </w:pPr>
      <w:r>
        <w:t>Continuité du locataire Famille</w:t>
      </w:r>
    </w:p>
    <w:p>
      <w:r>
        <w:rPr>
          <w:b/>
          <w:color w:val="0F172A"/>
        </w:rPr>
        <w:t>Une famille peut-elle avoir son propre locataire Adaptive Learner?</w:t>
      </w:r>
    </w:p>
    <w:p>
      <w:r>
        <w:t>Oui. Un locataire Famille est un locataire de premier ordre et une limite de données indépendante visant à préserver la continuité du soutien à l’élève lorsque l’école, la clinique, le professionnel ou l’équipe de soutien change. Il n’est pas un locataire enfant sous une école et il va au-delà d’un simple portail parental.</w:t>
      </w:r>
    </w:p>
    <w:p>
      <w:r>
        <w:rPr>
          <w:b/>
          <w:color w:val="0F172A"/>
        </w:rPr>
        <w:t>Un locataire Famille devient-il propriétaire des dossiers d’une école, d’une clinique ou d’un professionnel?</w:t>
      </w:r>
    </w:p>
    <w:p>
      <w:r>
        <w:t>Non. Adaptive Learner sépare la propriété commerciale, la relation familiale vérifiée, la responsabilité de continuité, l’autorité du tuteur ou l’autorité légale, l’autorité professionnelle et l’autorité de la source. Un locataire Famille peut organiser des renseignements produits par la famille et des copies autorisées, mais une copie provenant d’une école, d’une clinique ou d’un professionnel conserve son attribution à la source.</w:t>
      </w:r>
    </w:p>
    <w:p>
      <w:r>
        <w:rPr>
          <w:b/>
          <w:color w:val="0F172A"/>
        </w:rPr>
        <w:t>Que peut conserver un locataire Famille dans le contexte de continuité de l’élève?</w:t>
      </w:r>
    </w:p>
    <w:p>
      <w:r>
        <w:t>Un locataire Famille peut maintenir un contexte local de l’élève avec les forces, intérêts, soutiens à domicile, observations, préférences d’accessibilité, étapes importantes et autres renseignements de continuité autorisés produits par la famille. Les dossiers historiques externes peuvent être conservés comme copies avec provenance. L’accès longitudinal protégé exige une relation familiale vérifiée ou une responsabilité active de continuité; le paiement seul ne suffit pas.</w:t>
      </w:r>
    </w:p>
    <w:p>
      <w:r>
        <w:rPr>
          <w:b/>
          <w:color w:val="0F172A"/>
        </w:rPr>
        <w:t>Une famille peut-elle créer des plans de soutien et des activités?</w:t>
      </w:r>
    </w:p>
    <w:p>
      <w:r>
        <w:t>Oui. L’espace de soutien familial prend en charge les Plans de soutien familial, les objectifs, les activités, les données probantes, la collaboration délimitée et la révision familiale. Un Plan de soutien familial n’est ni un IEP, ni un plan institutionnel, ni un diagnostic, ni une constatation professionnelle. Les preuves familiales demeurent attribuables à leur contributeur.</w:t>
      </w:r>
    </w:p>
    <w:p>
      <w:r>
        <w:rPr>
          <w:b/>
          <w:color w:val="0F172A"/>
        </w:rPr>
        <w:t>Un locataire Famille peut-il inviter des enseignants, tuteurs ou professionnels?</w:t>
      </w:r>
    </w:p>
    <w:p>
      <w:r>
        <w:t>Oui, au moyen d’invitations de collaborateurs délimitées à l’élève. Une invitation ne crée ni titre professionnel ni rôle canonique de plateforme. Un professionnel réglementé ou scolaire doit déjà posséder le rôle gouverné actif correspondant avant que la capacité de conseil professionnel soit acceptée. Le lien demeure propre à l’élève plutôt qu’une affectation institutionnelle à l’ensemble du locataire.</w:t>
      </w:r>
    </w:p>
    <w:p>
      <w:r>
        <w:rPr>
          <w:b/>
          <w:color w:val="0F172A"/>
        </w:rPr>
        <w:t>Comment un locataire Famille ferme-t-il la boucle lorsqu’un soutien change de contexte?</w:t>
      </w:r>
    </w:p>
    <w:p>
      <w:r>
        <w:t>Le flux de continuité compose l’ensemble de portabilité gouverné avec la réception explicite, la réconciliation de l’élève et de l’information, l’autorité de destination, l’acceptation de la responsabilité, une prochaine action responsable nommée avec son propriétaire, l’accusé de réception et l’achèvement. Les tableaux de bord montrent les états en attente de réception, de réconciliation, de responsabilité ou d’accusé. Les seuils d’âge observés sont des seuils opérationnels d’attention et non des SLA contractuels.</w:t>
      </w:r>
    </w:p>
    <w:p>
      <w:pPr>
        <w:pStyle w:val="Heading1"/>
      </w:pPr>
      <w:r>
        <w:t>Planification, rapports et interopérabilité</w:t>
      </w:r>
    </w:p>
    <w:p>
      <w:r>
        <w:rPr>
          <w:b/>
          <w:color w:val="0F172A"/>
        </w:rPr>
        <w:t>Les plans de soutien de l’élève peuvent-ils être imprimés ou exportés?</w:t>
      </w:r>
    </w:p>
    <w:p>
      <w:r>
        <w:t>Oui. Tout type de plan publié pris en charge peut être assemblé dans le Rapport du plan de l’élève gouverné et émis comme dérivé contrôlé accessible HTML, PDF ou imprimé. La copie contrôlée est liée au plan publié exact sélectionné, à sa version et à l’instantané du rapport, avec preuves de divulgation, de distribution et de provenance.</w:t>
      </w:r>
    </w:p>
    <w:p>
      <w:r>
        <w:rPr>
          <w:b/>
          <w:color w:val="0F172A"/>
        </w:rPr>
        <w:t>Comment Adaptive Learner soutient-il la planification d’interventions ciblées?</w:t>
      </w:r>
    </w:p>
    <w:p>
      <w:r>
        <w:t>Adaptive Learner combine des normes adaptées à la juridiction, des données d’évaluation et des relations de compétences canoniques avec la confirmation de l’éducateur. Un profil large de l’élève peut être réduit à une ou deux priorités et organisé en cycle d’intervention ciblée répétable, généralement Acquérir, Relier, Transférer et Réviser, tout en laissant à l’éducateur la responsabilité de la confirmation, des choix de prestation et du jugement éducatif final.</w:t>
      </w:r>
    </w:p>
    <w:p>
      <w:r>
        <w:rPr>
          <w:b/>
          <w:color w:val="0F172A"/>
        </w:rPr>
        <w:t>Adaptive Learner peut-il s’intégrer à MySchoolSask, Edsby ou Clever?</w:t>
      </w:r>
    </w:p>
    <w:p>
      <w:r>
        <w:t>Oui. L’architecture d’intégration indépendante du fournisseur prend en charge des modèles gouvernés de liste/identité et de prestation pédagogique pour MySchoolSask/Follett Aspen, Clever, Edsby et des fournisseurs génériques OneRoster/OIDC. Le contexte provenant d’une liste, d’une authentification unique ou d’un LMS externe ne remplace ni l’autorisation Adaptive Learner ni son autorité sur le soutien à l’élève.</w:t>
      </w:r>
    </w:p>
    <w:p>
      <w:r>
        <w:rPr>
          <w:b/>
          <w:color w:val="0F172A"/>
        </w:rPr>
        <w:t>Comment les rapports et les données probantes demeurent-ils reliés à l’historique de l’élève?</w:t>
      </w:r>
    </w:p>
    <w:p>
      <w:r>
        <w:t>Les rapports officiels sont assemblés à partir d’instantanés de sources autoritaires et versionnées et conservent les preuves relatives au cycle de vie du rapport, à la divulgation, à la distribution, à la correction ou au remplacement et à la provenance. Les rapports de continuité familiale identifient aussi l’autorité de la source et la provenance afin que les renseignements produits par la famille demeurent distincts des copies externes.</w:t>
      </w:r>
    </w:p>
    <w:p>
      <w:pPr>
        <w:pStyle w:val="Heading1"/>
      </w:pPr>
      <w:r>
        <w:t>Licences et modèle de tarification</w:t>
      </w:r>
    </w:p>
    <w:p>
      <w:r>
        <w:rPr>
          <w:b/>
          <w:color w:val="0F172A"/>
        </w:rPr>
        <w:t>Comment les licences sont-elles mesurées?</w:t>
      </w:r>
    </w:p>
    <w:p>
      <w:r>
        <w:t>Adaptive Learner est offert sous licence par locataire et selon la capacité d’élèves soutenus actifs, les élèves soutenus actifs constituant le principal compteur commercial. Les forfaits Institution peuvent également comprendre une allocation d’utilisateurs organisationnels principaux nommés. Les comptes d’élève et les collaborateurs approuvés liés à l’élève sont inclus plutôt qu’achetés comme sièges à plein tarif. Les capacités d’IA native sont incluses pour un usage normal raisonnable.</w:t>
      </w:r>
    </w:p>
    <w:p>
      <w:r>
        <w:rPr>
          <w:b/>
          <w:color w:val="0F172A"/>
        </w:rPr>
        <w:t>Pour une pratique de psychologie soutenant 50 élèves, qu’est-ce qui est compté?</w:t>
      </w:r>
    </w:p>
    <w:p>
      <w:r>
        <w:t>La quantité commerciale commence par un locataire Institution et 50 élèves soutenus actifs. Le forfait institutionnel sélectionné comprend aussi une allocation d’utilisateurs organisationnels principaux nommés. Les comptes d’élève, les comptes de parents ou tuteurs et les collaborateurs raisonnables liés à l’élève sont inclus dans le modèle de collaboration plutôt que facturés comme sièges complets. Les fonctions d’IA native gouvernée font partie de l’abonnement.</w:t>
      </w:r>
    </w:p>
    <w:p>
      <w:r>
        <w:rPr>
          <w:b/>
          <w:color w:val="0F172A"/>
        </w:rPr>
        <w:t>Les enseignants, intervenants de soutien, coordonnateurs, parents et aidants sont-ils des sièges payants séparés?</w:t>
      </w:r>
    </w:p>
    <w:p>
      <w:r>
        <w:t>Non. Les enseignants, intervenants de soutien, coordonnateurs, parents, aidants et autres participants approuvés liés à l’élève sont des collaborateurs affectés. Leur visibilité et leurs actions sont contrôlées par le locataire, le rôle, l’affectation à l’élève, le but d’utilisation, le consentement ou l’autorité, la classification du dossier et l’état du flux de travail. Ils ne sont pas des sièges à plein tarif simplement parce qu’ils participent au cercle de soutien d’un élève.</w:t>
      </w:r>
    </w:p>
    <w:p>
      <w:r>
        <w:rPr>
          <w:b/>
          <w:color w:val="0F172A"/>
        </w:rPr>
        <w:t>Quels utilisateurs comptent dans l’allocation des utilisateurs organisationnels principaux?</w:t>
      </w:r>
    </w:p>
    <w:p>
      <w:r>
        <w:t>Pour les forfaits Institution, le compteur secondaire s’applique aux professionnels ou administrateurs internes nommés qui travaillent sur une charge de cas ou administrent le locataire, par exemple les psychologues, cliniciens, administrateurs cliniques ou d’évaluation, administrateurs du locataire et rôles de facturation ou d’opérations. Le forfait Famille a une capacité de zéro utilisateur interne facturable parce que la participation professionnelle passe par une collaboration délimitée liée à l’élève plutôt que par des sièges d’employés de la famille.</w:t>
      </w:r>
    </w:p>
    <w:p>
      <w:r>
        <w:rPr>
          <w:b/>
          <w:color w:val="0F172A"/>
        </w:rPr>
        <w:t>Quel est le prix d’un abonnement pour un locataire Famille?</w:t>
      </w:r>
    </w:p>
    <w:p>
      <w:r>
        <w:t>Le prix public recommandé actuel du forfait Famille est de 29 $ CA par mois plus les taxes applicables et comprend un élève soutenu actif. Chaque élève soutenu actif supplémentaire coûte 10 $ CA par mois. Les comptes de parent, tuteur, aidant, élève et les collaborateurs raisonnables liés à l’élève sont inclus. Le système utilise des modalités commerciales approuvées propres au locataire; l’entente d’abonnement signée demeure l’autorité.</w:t>
      </w:r>
    </w:p>
    <w:p>
      <w:r>
        <w:rPr>
          <w:b/>
          <w:color w:val="0F172A"/>
        </w:rPr>
        <w:t>Existe-t-il un rabais annuel pour l’abonnement Famille?</w:t>
      </w:r>
    </w:p>
    <w:p>
      <w:r>
        <w:t>Pas à ce stade. La posture commerciale actuelle du forfait Famille est mensuelle. Les modalités de prépaiement annuel, de rabais, de remboursement et de changement d’élève en cours de période ne sont pas présentées comme offre publique approuvée tant qu’elles ne sont pas mises en œuvre et définies contractuellement.</w:t>
      </w:r>
    </w:p>
    <w:p>
      <w:r>
        <w:rPr>
          <w:b/>
          <w:color w:val="0F172A"/>
        </w:rPr>
        <w:t>Quel est le prix du projet pilote Famille payant recommandé?</w:t>
      </w:r>
    </w:p>
    <w:p>
      <w:r>
        <w:t>Le Projet pilote de cohorte de continuité familiale recommandé, payé par un commanditaire, coûte 7 500 $ CA plus taxes pour 8 semaines, jusqu’à 15 locataires Famille ou élèves et un flux principal de continuité ou de transfert. Le Projet pilote de cohorte familiale élargi coûte 12 500 $ CA plus taxes pour 12 semaines, jusqu’à 30 locataires Famille ou élèves et jusqu’à deux flux. Les frais d’abonnement Famille sont de 0 $ pendant le projet pilote payé par le commanditaire et il n’y a aucun renouvellement automatique pour les familles.</w:t>
      </w:r>
    </w:p>
    <w:p>
      <w:r>
        <w:rPr>
          <w:b/>
          <w:color w:val="0F172A"/>
        </w:rPr>
        <w:t>Quels services peuvent être mesurés ou définis séparément?</w:t>
      </w:r>
    </w:p>
    <w:p>
      <w:r>
        <w:t>L’usage normal de l’IA native gouvernée est inclus dans l’abonnement et les clients ne sont pas facturés selon les jetons bruts du modèle. Les services à coût variable pouvant être définis séparément comprennent les SMS ou notifications à volume élevé, la transcription ou le traitement média, le stockage important, l’hébergement ou la résidence dédiés, les intégrations, ainsi que les traitements d’IA exceptionnellement massifs, à volume élevé, utilisant des modèles premium ou propres au client lorsqu’ils sont convenus contractuellement.</w:t>
      </w:r>
    </w:p>
    <w:p>
      <w:r>
        <w:rPr>
          <w:b/>
          <w:color w:val="0F172A"/>
        </w:rPr>
        <w:t>La tarification publiée est-elle finale?</w:t>
      </w:r>
    </w:p>
    <w:p>
      <w:r>
        <w:t>Les prix publics du forfait Famille et des projets pilotes décrivent l’offre commerciale approuvée actuelle, sans remplacer l’entente signée. Les taxes, les travaux d’intégration ou de mise en œuvre propres au client, les services variables exceptionnels, les quantités institutionnelles négociées et tout crédit approuvé du projet pilote vers un abonnement sont confirmés dans la proposition ou l’entente d’abonnement.</w:t>
      </w:r>
    </w:p>
    <w:p>
      <w:pPr>
        <w:pStyle w:val="Heading1"/>
      </w:pPr>
      <w:r>
        <w:t>Accessibilité</w:t>
      </w:r>
    </w:p>
    <w:p>
      <w:r>
        <w:rPr>
          <w:b/>
          <w:color w:val="0F172A"/>
        </w:rPr>
        <w:t>Quelle est la posture en matière d’accessibilité?</w:t>
      </w:r>
    </w:p>
    <w:p>
      <w:r>
        <w:t>L’accessibilité est une exigence du produit et de la marque qui couvre la structure sémantique, les attentes relatives au clavier et au focus, le contraste, les cibles tactiles, les profils d’élève et les essais par rôle. Le produit n’est pas présenté comme certifié de manière indépendante conforme aux WCAG tant que les essais représentatifs et toute révision indépendante requise ne sont pas terminés.</w:t>
      </w:r>
    </w:p>
    <w:p>
      <w:pPr>
        <w:pStyle w:val="Heading1"/>
      </w:pPr>
      <w:r>
        <w:t>Appareils des élèves</w:t>
      </w:r>
    </w:p>
    <w:p>
      <w:r>
        <w:rPr>
          <w:b/>
          <w:color w:val="0F172A"/>
        </w:rPr>
        <w:t>L’élève a-t-il besoin d’une application mobile installée?</w:t>
      </w:r>
    </w:p>
    <w:p>
      <w:r>
        <w:t>Aucune application native n’est requise pour la base. L’élève peut utiliser une surface Web ou PWA adaptative lancée au moyen d’un code QR, d’un code court ou d’un lien profond à courte durée. Une application native est reportée, sauf si les projets pilotes démontrent un besoin précis en gestion des appareils mobiles, mode kiosque, notifications poussées, fonctionnement hors ligne intensif ou contrôle du matériel.</w:t>
      </w:r>
    </w:p>
    <w:p>
      <w:r>
        <w:rPr>
          <w:b/>
          <w:color w:val="0F172A"/>
        </w:rPr>
        <w:t>Le produit peut-il fonctionner hors ligne?</w:t>
      </w:r>
    </w:p>
    <w:p>
      <w:r>
        <w:t>L’architecture prend en charge une capacité hors ligne sélective pour les activités approuvées de l’élève ou de soutien, la mise en file locale et la synchronisation. Seules les données minimales nécessaires sont mises en cache; les dossiers restreints et les flux administratifs complexes demeurent en ligne et sous contrôle du serveur.</w:t>
      </w:r>
    </w:p>
    <w:p>
      <w:pPr>
        <w:pStyle w:val="Heading1"/>
      </w:pPr>
      <w:r>
        <w:t>Approvisionnement</w:t>
      </w:r>
    </w:p>
    <w:p>
      <w:r>
        <w:rPr>
          <w:b/>
          <w:color w:val="0F172A"/>
        </w:rPr>
        <w:t>Le produit a-t-il terminé la validation d’acceptation par les clients?</w:t>
      </w:r>
    </w:p>
    <w:p>
      <w:r>
        <w:t>Pas encore. Le flux d’implémentation du locataire Famille est complet sur le plan logiciel jusqu’à sa phase de préparation à la version, mais l’acceptation de Production exige encore les preuves propres à la version pour l’UAT, la confidentialité et la sécurité, la durabilité, la performance, la reprise ou le retour arrière et l’acceptation indépendante. Adaptive Learner demeure disponible pour une évaluation dans le cadre d’un projet pilote contrôlé; les preuves de projets pilotes payants, les clients de référence et les résultats éprouvés sur le marché restent à établir.</w:t>
      </w:r>
    </w:p>
    <w:p>
      <w:r>
        <w:rPr>
          <w:b/>
          <w:color w:val="0F172A"/>
        </w:rPr>
        <w:t>Que valide un projet pilote Famille payant?</w:t>
      </w:r>
    </w:p>
    <w:p>
      <w:r>
        <w:t>Le projet pilote de cohorte recommandé valide la proposition complète de continuité : accueil du locataire Famille, contexte longitudinal de l’élève, préservation de l’autorité et de la provenance de la source, collaboration professionnelle délimitée, activités de soutien familial, transfert gouverné, responsabilité de destination, prochaine action responsable et accusé de réception. Le commanditaire et Adaptive Learner conviennent des participants, de la portée, de la posture UAT, des mesures de réussite et des preuves avant le début.</w:t>
      </w:r>
    </w:p>
    <w:p>
      <w:r>
        <w:rPr>
          <w:b/>
          <w:color w:val="0F172A"/>
        </w:rPr>
        <w:t>Un projet pilote payant devient-il automatiquement un abonnement?</w:t>
      </w:r>
    </w:p>
    <w:p>
      <w:r>
        <w:t>Non. Les projets pilotes Famille payés par un commanditaire ne renouvellent pas automatiquement les abonnements individuels. Chaque famille choisit explicitement de poursuivre avec l’abonnement Famille courant ou de quitter le service à la fin du projet pilote. Lorsqu’il est prévu dans la proposition approuvée du commanditaire, jusqu’à 50 % des frais du projet pilote peuvent être crédités à un abonnement institutionnel annuel signé dans les 30 jours.</w:t>
      </w:r>
    </w:p>
    <w:p>
      <w:r>
        <w:rPr>
          <w:b/>
          <w:color w:val="0F172A"/>
        </w:rPr>
        <w:t>Quelles preuves peuvent être fournies pendant la diligence raisonnable?</w:t>
      </w:r>
    </w:p>
    <w:p>
      <w:r>
        <w:t>Sous réserve de la confidentialité et de la pertinence, la diligence peut comprendre des résumés de l’architecture et des flux de données, l’approche d’essais fonctionnels et d’UAT, les preuves de déploiement et de reprise, les exigences de preuves de préparation du locataire Famille, l’index des procédures et des contrôles, les renseignements sur les fournisseurs et sous-traitants, les descriptions des contrôles d’accès, les contrôles de gouvernance de l’IA et la documentation de mise en œuvre propre au client.</w:t>
      </w:r>
    </w:p>
    <w:p>
      <w:pPr>
        <w:pStyle w:val="Heading1"/>
      </w:pPr>
      <w:r>
        <w:t>Conformité</w:t>
      </w:r>
    </w:p>
    <w:p>
      <w:r>
        <w:rPr>
          <w:b/>
          <w:color w:val="0F172A"/>
        </w:rPr>
        <w:t>Quels cadres de confidentialité et juridiques Adaptive Learner est-il conçu pour soutenir?</w:t>
      </w:r>
    </w:p>
    <w:p>
      <w:r>
        <w:t>La plateforme est conçue pour soutenir les déploiements assujettis aux exigences canadiennes et saskatchewanaises applicables en matière de confidentialité, de gestion de l’information et de transactions électroniques. L’applicabilité dépend du client, des données, du but et du déploiement; la conformité ne découle pas de l’architecture logicielle seule et exige, selon le cas, un examen contractuel, stratégique, opérationnel et juridique.</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0F172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F766E"/>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0F766E"/>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F172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