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9D05A" w14:textId="77777777" w:rsidR="00AB1F9C" w:rsidRDefault="00A01B55">
      <w:pPr>
        <w:spacing w:after="40"/>
      </w:pPr>
      <w:r>
        <w:rPr>
          <w:b/>
          <w:color w:val="0F766E"/>
          <w:sz w:val="17"/>
        </w:rPr>
        <w:t>INSTITUTIONAL TRUST SUMMARY</w:t>
      </w:r>
    </w:p>
    <w:p w14:paraId="32AAF153" w14:textId="77777777" w:rsidR="00AB1F9C" w:rsidRDefault="00A01B55">
      <w:pPr>
        <w:pStyle w:val="Title"/>
        <w:keepNext w:val="0"/>
        <w:spacing w:after="80" w:line="259" w:lineRule="auto"/>
      </w:pPr>
      <w:r>
        <w:rPr>
          <w:rFonts w:ascii="Arial" w:eastAsia="Arial" w:hAnsi="Arial" w:cs="Arial"/>
          <w:sz w:val="50"/>
        </w:rPr>
        <w:t>Security, privacy, accessibility, operations, and AI FAQ</w:t>
      </w:r>
    </w:p>
    <w:p w14:paraId="62F8D4D1" w14:textId="77777777" w:rsidR="00AB1F9C" w:rsidRDefault="00A01B55">
      <w:pPr>
        <w:spacing w:after="200"/>
      </w:pPr>
      <w:r>
        <w:rPr>
          <w:color w:val="64748B"/>
          <w:sz w:val="25"/>
        </w:rPr>
        <w:t>A concise, bounded overview for early discovery. Detailed evidence is provided through a controlled diligence process.</w:t>
      </w:r>
    </w:p>
    <w:tbl>
      <w:tblPr>
        <w:tblW w:w="0" w:type="auto"/>
        <w:jc w:val="center"/>
        <w:tblLayout w:type="fixed"/>
        <w:tblLook w:val="04A0" w:firstRow="1" w:lastRow="0" w:firstColumn="1" w:lastColumn="0" w:noHBand="0" w:noVBand="1"/>
      </w:tblPr>
      <w:tblGrid>
        <w:gridCol w:w="5141"/>
        <w:gridCol w:w="5141"/>
      </w:tblGrid>
      <w:tr w:rsidR="00AB1F9C" w14:paraId="7A83A05C" w14:textId="77777777">
        <w:trPr>
          <w:cantSplit/>
          <w:jc w:val="center"/>
        </w:trPr>
        <w:tc>
          <w:tcPr>
            <w:tcW w:w="5141" w:type="dxa"/>
            <w:shd w:val="clear" w:color="auto" w:fill="2563EB"/>
            <w:tcMar>
              <w:top w:w="45" w:type="dxa"/>
              <w:left w:w="0" w:type="dxa"/>
              <w:bottom w:w="45" w:type="dxa"/>
              <w:right w:w="0" w:type="dxa"/>
            </w:tcMar>
          </w:tcPr>
          <w:p w14:paraId="7F0943B1" w14:textId="77777777" w:rsidR="00AB1F9C" w:rsidRDefault="00AB1F9C"/>
        </w:tc>
        <w:tc>
          <w:tcPr>
            <w:tcW w:w="5141" w:type="dxa"/>
            <w:shd w:val="clear" w:color="auto" w:fill="EDF3FF"/>
            <w:tcMar>
              <w:top w:w="85" w:type="dxa"/>
              <w:left w:w="115" w:type="dxa"/>
              <w:bottom w:w="85" w:type="dxa"/>
              <w:right w:w="115" w:type="dxa"/>
            </w:tcMar>
          </w:tcPr>
          <w:p w14:paraId="2176E17A" w14:textId="77777777" w:rsidR="00AB1F9C" w:rsidRDefault="00A01B55">
            <w:pPr>
              <w:spacing w:after="40"/>
            </w:pPr>
            <w:r>
              <w:rPr>
                <w:b/>
                <w:color w:val="0A1F33"/>
                <w:sz w:val="20"/>
              </w:rPr>
              <w:t>Trust position</w:t>
            </w:r>
          </w:p>
          <w:p w14:paraId="68B4C8AE" w14:textId="77777777" w:rsidR="00AB1F9C" w:rsidRDefault="00A01B55">
            <w:pPr>
              <w:spacing w:after="0" w:line="250" w:lineRule="auto"/>
            </w:pPr>
            <w:r>
              <w:rPr>
                <w:sz w:val="19"/>
              </w:rPr>
              <w:t>Adaptive Learner is designed for sensitive learner-support workflows. The public position is evidence-based but deliberately bounded: this document distinguishes implemented architecture, configurable customer choices, deployment-specific decisions, and items requiring independent review.</w:t>
            </w:r>
          </w:p>
        </w:tc>
      </w:tr>
    </w:tbl>
    <w:p w14:paraId="26ABF1DE" w14:textId="77777777" w:rsidR="00AB1F9C" w:rsidRDefault="00AB1F9C">
      <w:pPr>
        <w:spacing w:after="0"/>
      </w:pPr>
    </w:p>
    <w:tbl>
      <w:tblPr>
        <w:tblW w:w="0" w:type="auto"/>
        <w:jc w:val="center"/>
        <w:tblLayout w:type="fixed"/>
        <w:tblLook w:val="04A0" w:firstRow="1" w:lastRow="0" w:firstColumn="1" w:lastColumn="0" w:noHBand="0" w:noVBand="1"/>
      </w:tblPr>
      <w:tblGrid>
        <w:gridCol w:w="2520"/>
        <w:gridCol w:w="7128"/>
      </w:tblGrid>
      <w:tr w:rsidR="00AB1F9C" w14:paraId="4DFEABEB" w14:textId="77777777">
        <w:trPr>
          <w:cantSplit/>
          <w:jc w:val="center"/>
        </w:trPr>
        <w:tc>
          <w:tcPr>
            <w:tcW w:w="2520" w:type="dxa"/>
            <w:tcBorders>
              <w:top w:val="single" w:sz="4" w:space="0" w:color="D5E1E7"/>
              <w:left w:val="single" w:sz="4" w:space="0" w:color="D5E1E7"/>
              <w:bottom w:val="single" w:sz="4" w:space="0" w:color="D5E1E7"/>
              <w:right w:val="single" w:sz="4" w:space="0" w:color="D5E1E7"/>
            </w:tcBorders>
            <w:shd w:val="clear" w:color="auto" w:fill="EEF6F7"/>
            <w:tcMar>
              <w:top w:w="60" w:type="dxa"/>
              <w:left w:w="78" w:type="dxa"/>
              <w:bottom w:w="60" w:type="dxa"/>
              <w:right w:w="78" w:type="dxa"/>
            </w:tcMar>
          </w:tcPr>
          <w:p w14:paraId="2D6AA2A6" w14:textId="77777777" w:rsidR="00AB1F9C" w:rsidRDefault="00A01B55">
            <w:pPr>
              <w:spacing w:after="0"/>
            </w:pPr>
            <w:r>
              <w:rPr>
                <w:b/>
                <w:color w:val="0A1F33"/>
                <w:sz w:val="17"/>
              </w:rPr>
              <w:t>Product</w:t>
            </w:r>
          </w:p>
        </w:tc>
        <w:tc>
          <w:tcPr>
            <w:tcW w:w="7128" w:type="dxa"/>
            <w:tcBorders>
              <w:top w:val="single" w:sz="4" w:space="0" w:color="D5E1E7"/>
              <w:left w:val="single" w:sz="4" w:space="0" w:color="D5E1E7"/>
              <w:bottom w:val="single" w:sz="4" w:space="0" w:color="D5E1E7"/>
              <w:right w:val="single" w:sz="4" w:space="0" w:color="D5E1E7"/>
            </w:tcBorders>
            <w:tcMar>
              <w:top w:w="60" w:type="dxa"/>
              <w:left w:w="78" w:type="dxa"/>
              <w:bottom w:w="60" w:type="dxa"/>
              <w:right w:w="78" w:type="dxa"/>
            </w:tcMar>
          </w:tcPr>
          <w:p w14:paraId="6EEE7B57" w14:textId="77777777" w:rsidR="00AB1F9C" w:rsidRDefault="00A01B55">
            <w:pPr>
              <w:spacing w:after="0"/>
            </w:pPr>
            <w:r>
              <w:rPr>
                <w:sz w:val="17"/>
              </w:rPr>
              <w:t>Adaptive Learner Collaboration Platform</w:t>
            </w:r>
          </w:p>
        </w:tc>
      </w:tr>
      <w:tr w:rsidR="00AB1F9C" w14:paraId="1A2616A9" w14:textId="77777777">
        <w:trPr>
          <w:cantSplit/>
          <w:jc w:val="center"/>
        </w:trPr>
        <w:tc>
          <w:tcPr>
            <w:tcW w:w="2520" w:type="dxa"/>
            <w:tcBorders>
              <w:top w:val="single" w:sz="4" w:space="0" w:color="D5E1E7"/>
              <w:left w:val="single" w:sz="4" w:space="0" w:color="D5E1E7"/>
              <w:bottom w:val="single" w:sz="4" w:space="0" w:color="D5E1E7"/>
              <w:right w:val="single" w:sz="4" w:space="0" w:color="D5E1E7"/>
            </w:tcBorders>
            <w:shd w:val="clear" w:color="auto" w:fill="EEF6F7"/>
            <w:tcMar>
              <w:top w:w="60" w:type="dxa"/>
              <w:left w:w="78" w:type="dxa"/>
              <w:bottom w:w="60" w:type="dxa"/>
              <w:right w:w="78" w:type="dxa"/>
            </w:tcMar>
          </w:tcPr>
          <w:p w14:paraId="3E164531" w14:textId="77777777" w:rsidR="00AB1F9C" w:rsidRDefault="00A01B55">
            <w:pPr>
              <w:spacing w:after="0"/>
            </w:pPr>
            <w:r>
              <w:rPr>
                <w:b/>
                <w:color w:val="0A1F33"/>
                <w:sz w:val="17"/>
              </w:rPr>
              <w:t>Document status</w:t>
            </w:r>
          </w:p>
        </w:tc>
        <w:tc>
          <w:tcPr>
            <w:tcW w:w="7128" w:type="dxa"/>
            <w:tcBorders>
              <w:top w:val="single" w:sz="4" w:space="0" w:color="D5E1E7"/>
              <w:left w:val="single" w:sz="4" w:space="0" w:color="D5E1E7"/>
              <w:bottom w:val="single" w:sz="4" w:space="0" w:color="D5E1E7"/>
              <w:right w:val="single" w:sz="4" w:space="0" w:color="D5E1E7"/>
            </w:tcBorders>
            <w:tcMar>
              <w:top w:w="60" w:type="dxa"/>
              <w:left w:w="78" w:type="dxa"/>
              <w:bottom w:w="60" w:type="dxa"/>
              <w:right w:w="78" w:type="dxa"/>
            </w:tcMar>
          </w:tcPr>
          <w:p w14:paraId="77693513" w14:textId="77777777" w:rsidR="00AB1F9C" w:rsidRDefault="00A01B55">
            <w:pPr>
              <w:spacing w:after="0"/>
            </w:pPr>
            <w:r>
              <w:rPr>
                <w:sz w:val="17"/>
              </w:rPr>
              <w:t>P0 first-level summary; not a certification or legal opinion</w:t>
            </w:r>
          </w:p>
        </w:tc>
      </w:tr>
      <w:tr w:rsidR="00AB1F9C" w14:paraId="3C21D6B1" w14:textId="77777777">
        <w:trPr>
          <w:cantSplit/>
          <w:jc w:val="center"/>
        </w:trPr>
        <w:tc>
          <w:tcPr>
            <w:tcW w:w="2520" w:type="dxa"/>
            <w:tcBorders>
              <w:top w:val="single" w:sz="4" w:space="0" w:color="D5E1E7"/>
              <w:left w:val="single" w:sz="4" w:space="0" w:color="D5E1E7"/>
              <w:bottom w:val="single" w:sz="4" w:space="0" w:color="D5E1E7"/>
              <w:right w:val="single" w:sz="4" w:space="0" w:color="D5E1E7"/>
            </w:tcBorders>
            <w:shd w:val="clear" w:color="auto" w:fill="EEF6F7"/>
            <w:tcMar>
              <w:top w:w="60" w:type="dxa"/>
              <w:left w:w="78" w:type="dxa"/>
              <w:bottom w:w="60" w:type="dxa"/>
              <w:right w:w="78" w:type="dxa"/>
            </w:tcMar>
          </w:tcPr>
          <w:p w14:paraId="42401581" w14:textId="77777777" w:rsidR="00AB1F9C" w:rsidRDefault="00A01B55">
            <w:pPr>
              <w:spacing w:after="0"/>
            </w:pPr>
            <w:r>
              <w:rPr>
                <w:b/>
                <w:color w:val="0A1F33"/>
                <w:sz w:val="17"/>
              </w:rPr>
              <w:t>Technical contact</w:t>
            </w:r>
          </w:p>
        </w:tc>
        <w:tc>
          <w:tcPr>
            <w:tcW w:w="7128" w:type="dxa"/>
            <w:tcBorders>
              <w:top w:val="single" w:sz="4" w:space="0" w:color="D5E1E7"/>
              <w:left w:val="single" w:sz="4" w:space="0" w:color="D5E1E7"/>
              <w:bottom w:val="single" w:sz="4" w:space="0" w:color="D5E1E7"/>
              <w:right w:val="single" w:sz="4" w:space="0" w:color="D5E1E7"/>
            </w:tcBorders>
            <w:tcMar>
              <w:top w:w="60" w:type="dxa"/>
              <w:left w:w="78" w:type="dxa"/>
              <w:bottom w:w="60" w:type="dxa"/>
              <w:right w:w="78" w:type="dxa"/>
            </w:tcMar>
          </w:tcPr>
          <w:p w14:paraId="2F85D3F9" w14:textId="77777777" w:rsidR="00AB1F9C" w:rsidRDefault="00A01B55">
            <w:pPr>
              <w:spacing w:after="0"/>
            </w:pPr>
            <w:r>
              <w:rPr>
                <w:sz w:val="17"/>
              </w:rPr>
              <w:t>Jan Franken, B.Sc., MBA - jan@janfranken.ca</w:t>
            </w:r>
          </w:p>
        </w:tc>
      </w:tr>
      <w:tr w:rsidR="00AB1F9C" w14:paraId="6D7440C2" w14:textId="77777777">
        <w:trPr>
          <w:cantSplit/>
          <w:jc w:val="center"/>
        </w:trPr>
        <w:tc>
          <w:tcPr>
            <w:tcW w:w="2520" w:type="dxa"/>
            <w:tcBorders>
              <w:top w:val="single" w:sz="4" w:space="0" w:color="D5E1E7"/>
              <w:left w:val="single" w:sz="4" w:space="0" w:color="D5E1E7"/>
              <w:bottom w:val="single" w:sz="4" w:space="0" w:color="D5E1E7"/>
              <w:right w:val="single" w:sz="4" w:space="0" w:color="D5E1E7"/>
            </w:tcBorders>
            <w:shd w:val="clear" w:color="auto" w:fill="EEF6F7"/>
            <w:tcMar>
              <w:top w:w="60" w:type="dxa"/>
              <w:left w:w="78" w:type="dxa"/>
              <w:bottom w:w="60" w:type="dxa"/>
              <w:right w:w="78" w:type="dxa"/>
            </w:tcMar>
          </w:tcPr>
          <w:p w14:paraId="793618F7" w14:textId="77777777" w:rsidR="00AB1F9C" w:rsidRDefault="00A01B55">
            <w:pPr>
              <w:spacing w:after="0"/>
            </w:pPr>
            <w:r>
              <w:rPr>
                <w:b/>
                <w:color w:val="0A1F33"/>
                <w:sz w:val="17"/>
              </w:rPr>
              <w:t>Detailed diligence</w:t>
            </w:r>
          </w:p>
        </w:tc>
        <w:tc>
          <w:tcPr>
            <w:tcW w:w="7128" w:type="dxa"/>
            <w:tcBorders>
              <w:top w:val="single" w:sz="4" w:space="0" w:color="D5E1E7"/>
              <w:left w:val="single" w:sz="4" w:space="0" w:color="D5E1E7"/>
              <w:bottom w:val="single" w:sz="4" w:space="0" w:color="D5E1E7"/>
              <w:right w:val="single" w:sz="4" w:space="0" w:color="D5E1E7"/>
            </w:tcBorders>
            <w:tcMar>
              <w:top w:w="60" w:type="dxa"/>
              <w:left w:w="78" w:type="dxa"/>
              <w:bottom w:w="60" w:type="dxa"/>
              <w:right w:w="78" w:type="dxa"/>
            </w:tcMar>
          </w:tcPr>
          <w:p w14:paraId="2B68C5AD" w14:textId="77777777" w:rsidR="00AB1F9C" w:rsidRDefault="00A01B55">
            <w:pPr>
              <w:spacing w:after="0"/>
            </w:pPr>
            <w:r>
              <w:rPr>
                <w:sz w:val="17"/>
              </w:rPr>
              <w:t>Architecture, data flow, test evidence, provider register, and runbooks supplied under controlled access where appropriate</w:t>
            </w:r>
          </w:p>
        </w:tc>
      </w:tr>
      <w:tr w:rsidR="00AB1F9C" w14:paraId="72CC93FD" w14:textId="77777777">
        <w:trPr>
          <w:cantSplit/>
          <w:jc w:val="center"/>
        </w:trPr>
        <w:tc>
          <w:tcPr>
            <w:tcW w:w="2520" w:type="dxa"/>
            <w:tcBorders>
              <w:top w:val="single" w:sz="4" w:space="0" w:color="D5E1E7"/>
              <w:left w:val="single" w:sz="4" w:space="0" w:color="D5E1E7"/>
              <w:bottom w:val="single" w:sz="4" w:space="0" w:color="D5E1E7"/>
              <w:right w:val="single" w:sz="4" w:space="0" w:color="D5E1E7"/>
            </w:tcBorders>
            <w:shd w:val="clear" w:color="auto" w:fill="EEF6F7"/>
            <w:tcMar>
              <w:top w:w="60" w:type="dxa"/>
              <w:left w:w="78" w:type="dxa"/>
              <w:bottom w:w="60" w:type="dxa"/>
              <w:right w:w="78" w:type="dxa"/>
            </w:tcMar>
          </w:tcPr>
          <w:p w14:paraId="1FE5342F" w14:textId="77777777" w:rsidR="00AB1F9C" w:rsidRDefault="00A01B55">
            <w:pPr>
              <w:spacing w:after="0"/>
            </w:pPr>
            <w:r>
              <w:rPr>
                <w:b/>
                <w:color w:val="0A1F33"/>
                <w:sz w:val="17"/>
              </w:rPr>
              <w:t>Current stage</w:t>
            </w:r>
          </w:p>
        </w:tc>
        <w:tc>
          <w:tcPr>
            <w:tcW w:w="7128" w:type="dxa"/>
            <w:tcBorders>
              <w:top w:val="single" w:sz="4" w:space="0" w:color="D5E1E7"/>
              <w:left w:val="single" w:sz="4" w:space="0" w:color="D5E1E7"/>
              <w:bottom w:val="single" w:sz="4" w:space="0" w:color="D5E1E7"/>
              <w:right w:val="single" w:sz="4" w:space="0" w:color="D5E1E7"/>
            </w:tcBorders>
            <w:tcMar>
              <w:top w:w="60" w:type="dxa"/>
              <w:left w:w="78" w:type="dxa"/>
              <w:bottom w:w="60" w:type="dxa"/>
              <w:right w:w="78" w:type="dxa"/>
            </w:tcMar>
          </w:tcPr>
          <w:p>
            <w:r>
              <w:t>Implementation-ready; typed multi-plan and governed AI-assisted planning are included in the current implementation baseline; controlled pilot validation and representative customer acceptance remain pending</w:t>
            </w:r>
          </w:p>
        </w:tc>
      </w:tr>
    </w:tbl>
    <w:p w14:paraId="2D564679" w14:textId="77777777" w:rsidR="00AB1F9C" w:rsidRDefault="00AB1F9C">
      <w:pPr>
        <w:spacing w:after="0"/>
      </w:pPr>
    </w:p>
    <w:p w14:paraId="61DA69A5" w14:textId="77777777" w:rsidR="00AB1F9C" w:rsidRDefault="00A01B55">
      <w:pPr>
        <w:pStyle w:val="Heading1"/>
        <w:pBdr>
          <w:bottom w:val="single" w:sz="8" w:space="3" w:color="14B8A6"/>
        </w:pBdr>
      </w:pPr>
      <w:r>
        <w:rPr>
          <w:rFonts w:ascii="Arial" w:eastAsia="Arial" w:hAnsi="Arial" w:cs="Arial"/>
        </w:rPr>
        <w:t>Deployment and hosting</w:t>
      </w:r>
    </w:p>
    <w:p w14:paraId="1313C90B" w14:textId="77777777" w:rsidR="00AB1F9C" w:rsidRDefault="00A01B55">
      <w:pPr>
        <w:pStyle w:val="Heading2"/>
      </w:pPr>
      <w:r>
        <w:rPr>
          <w:rFonts w:ascii="Arial" w:eastAsia="Arial" w:hAnsi="Arial" w:cs="Arial"/>
        </w:rPr>
        <w:t>How is Adaptive Learner delivered?</w:t>
      </w:r>
    </w:p>
    <w:p w14:paraId="79146643" w14:textId="66C1CC15" w:rsidR="00AB1F9C" w:rsidRDefault="00A01B55">
      <w:r>
        <w:rPr>
          <w:sz w:val="19"/>
        </w:rPr>
        <w:t>The baseline is a secure browser-based ASP.NET Core / Blazor application running on Linux behind nginx and Kestrel, with PostgreSQL as the operational system of record, distributed cache, versioned object storage, and durable workflow/background state. The learner experience is responsive web/PWA-first.</w:t>
      </w:r>
      <w:r w:rsidR="00A91038">
        <w:rPr>
          <w:sz w:val="19"/>
        </w:rPr>
        <w:t xml:space="preserve"> </w:t>
      </w:r>
    </w:p>
    <w:p w14:paraId="1EA40C2E" w14:textId="77777777" w:rsidR="00AB1F9C" w:rsidRDefault="00A01B55">
      <w:pPr>
        <w:pStyle w:val="Heading2"/>
      </w:pPr>
      <w:r>
        <w:rPr>
          <w:rFonts w:ascii="Arial" w:eastAsia="Arial" w:hAnsi="Arial" w:cs="Arial"/>
        </w:rPr>
        <w:t>Are test and production environments separated?</w:t>
      </w:r>
    </w:p>
    <w:p w14:paraId="167413A9" w14:textId="77777777" w:rsidR="00AB1F9C" w:rsidRDefault="00A01B55">
      <w:r>
        <w:rPr>
          <w:sz w:val="19"/>
        </w:rPr>
        <w:t>Yes. The operating baseline requires separate UAT/Test and Production instances, databases, environment files, provider credentials, data roots, key rings, and reset rules. UAT/Test may be reset and reseeded; Production must not use destructive test reset behaviour.</w:t>
      </w:r>
    </w:p>
    <w:p w14:paraId="7E22F0CA" w14:textId="77777777" w:rsidR="00AB1F9C" w:rsidRDefault="00A01B55">
      <w:pPr>
        <w:pStyle w:val="Heading2"/>
      </w:pPr>
      <w:r>
        <w:t>Where is customer data hosted in the production baseline?</w:t>
      </w:r>
    </w:p>
    <w:p w14:paraId="3ACE2F0B" w14:textId="5DB8D40B" w:rsidR="003417DD" w:rsidRDefault="003417DD" w:rsidP="003417DD">
      <w:r>
        <w:t>The production hosting baseline uses Amazon Web Services (AWS) in a Canadian AWS Region. Application workloads run on Amazon EC2 within an Amazon VPC; PostgreSQL uses Amazon RDS for PostgreSQL; and documents and other stored artifacts use Amazon S3 with AWS KMS-managed encryption. Customer-specific region and external-provider processing details are confirmed during diligence and contracting.</w:t>
      </w:r>
    </w:p>
    <w:p w14:paraId="49FA15C6" w14:textId="77777777" w:rsidR="00AB1F9C" w:rsidRDefault="00A01B55">
      <w:pPr>
        <w:pStyle w:val="Heading1"/>
        <w:pBdr>
          <w:bottom w:val="single" w:sz="8" w:space="3" w:color="14B8A6"/>
        </w:pBdr>
      </w:pPr>
      <w:r>
        <w:rPr>
          <w:rFonts w:ascii="Arial" w:eastAsia="Arial" w:hAnsi="Arial" w:cs="Arial"/>
        </w:rPr>
        <w:lastRenderedPageBreak/>
        <w:t>Identity and access</w:t>
      </w:r>
    </w:p>
    <w:p w14:paraId="1A2230BD" w14:textId="77777777" w:rsidR="00AB1F9C" w:rsidRDefault="00A01B55">
      <w:pPr>
        <w:pStyle w:val="Heading2"/>
      </w:pPr>
      <w:r>
        <w:rPr>
          <w:rFonts w:ascii="Arial" w:eastAsia="Arial" w:hAnsi="Arial" w:cs="Arial"/>
        </w:rPr>
        <w:t>How is access controlled?</w:t>
      </w:r>
    </w:p>
    <w:p w14:paraId="2CB4740A" w14:textId="77777777" w:rsidR="00AB1F9C" w:rsidRDefault="00A01B55">
      <w:r>
        <w:rPr>
          <w:sz w:val="19"/>
        </w:rPr>
        <w:t>Baseline role permissions are refined at runtime by tenant, organization, learner assignment, purpose of use, record classification, consent, minor-authority mode, archive state, and other applicable policy inputs. Menu visibility, routes, queries, commands, and background work are intended to use the same canonical permission model.</w:t>
      </w:r>
    </w:p>
    <w:p w14:paraId="21D47203" w14:textId="77777777" w:rsidR="00AB1F9C" w:rsidRDefault="00A01B55">
      <w:pPr>
        <w:pStyle w:val="Heading2"/>
      </w:pPr>
      <w:r>
        <w:rPr>
          <w:rFonts w:ascii="Arial" w:eastAsia="Arial" w:hAnsi="Arial" w:cs="Arial"/>
        </w:rPr>
        <w:t>Does every participant see the same learner record?</w:t>
      </w:r>
    </w:p>
    <w:p w14:paraId="6E26906A" w14:textId="77777777" w:rsidR="00AB1F9C" w:rsidRDefault="00A01B55">
      <w:r>
        <w:rPr>
          <w:sz w:val="19"/>
        </w:rPr>
        <w:t>No. The product explicitly separates shared educational content, operationally sensitive information, restricted professional records, governance/legal information, family-safe views, learner activity context, and archive-restricted material.</w:t>
      </w:r>
    </w:p>
    <w:p w14:paraId="587F1C9B" w14:textId="77777777" w:rsidR="00AB1F9C" w:rsidRDefault="00A01B55">
      <w:pPr>
        <w:pStyle w:val="Heading2"/>
      </w:pPr>
      <w:r>
        <w:rPr>
          <w:rFonts w:ascii="Arial" w:eastAsia="Arial" w:hAnsi="Arial" w:cs="Arial"/>
        </w:rPr>
        <w:t>How are roles assigned?</w:t>
      </w:r>
    </w:p>
    <w:p w14:paraId="1F7947F1" w14:textId="77777777" w:rsidR="00AB1F9C" w:rsidRDefault="00A01B55">
      <w:r>
        <w:rPr>
          <w:sz w:val="19"/>
        </w:rPr>
        <w:t>Administrative role assignment is catalog-backed and validated server-side. Arbitrary role-code entry is not the normal assignment model, and successful or rejected changes are intended to retain audit evidence.</w:t>
      </w:r>
    </w:p>
    <w:p w14:paraId="0AC9B608" w14:textId="77777777" w:rsidR="00AB1F9C" w:rsidRDefault="00A01B55">
      <w:pPr>
        <w:pStyle w:val="Heading1"/>
        <w:pBdr>
          <w:bottom w:val="single" w:sz="8" w:space="3" w:color="14B8A6"/>
        </w:pBdr>
      </w:pPr>
      <w:r>
        <w:rPr>
          <w:rFonts w:ascii="Arial" w:eastAsia="Arial" w:hAnsi="Arial" w:cs="Arial"/>
        </w:rPr>
        <w:t>Data governance</w:t>
      </w:r>
    </w:p>
    <w:p w14:paraId="7758FD56" w14:textId="77777777" w:rsidR="00AB1F9C" w:rsidRDefault="00A01B55">
      <w:pPr>
        <w:pStyle w:val="Heading2"/>
      </w:pPr>
      <w:r>
        <w:rPr>
          <w:rFonts w:ascii="Arial" w:eastAsia="Arial" w:hAnsi="Arial" w:cs="Arial"/>
        </w:rPr>
        <w:t>How is tenant data separated?</w:t>
      </w:r>
    </w:p>
    <w:p w14:paraId="2BFBC16E" w14:textId="77777777" w:rsidR="00AB1F9C" w:rsidRDefault="00A01B55">
      <w:r>
        <w:rPr>
          <w:sz w:val="19"/>
        </w:rPr>
        <w:t>Tenant-owned operational, archive, projection, and commercial data carries tenant scope. Cross-tenant exposure is prohibited except for explicitly designed platform-governance or shared entities. Tenant isolation must be proven through positive and negative testing before release.</w:t>
      </w:r>
    </w:p>
    <w:p w14:paraId="74387618" w14:textId="77777777" w:rsidR="00AB1F9C" w:rsidRDefault="00A01B55">
      <w:pPr>
        <w:pStyle w:val="Heading2"/>
      </w:pPr>
      <w:r>
        <w:rPr>
          <w:rFonts w:ascii="Arial" w:eastAsia="Arial" w:hAnsi="Arial" w:cs="Arial"/>
        </w:rPr>
        <w:t>How are source documents and imported data handled?</w:t>
      </w:r>
    </w:p>
    <w:p w14:paraId="35176E75" w14:textId="77777777" w:rsidR="00AB1F9C" w:rsidRDefault="00A01B55">
      <w:r>
        <w:rPr>
          <w:sz w:val="19"/>
        </w:rPr>
        <w:t>External data enters through controlled import boundaries with staging, schema validation, duplicate/idempotency handling, mapping, verification, publication, and source lineage. Original artifacts or payloads are preserved where required rather than silently overwritten.</w:t>
      </w:r>
    </w:p>
    <w:p w14:paraId="5EF53C2B" w14:textId="77777777" w:rsidR="00AB1F9C" w:rsidRDefault="00A01B55">
      <w:pPr>
        <w:pStyle w:val="Heading2"/>
      </w:pPr>
      <w:r>
        <w:rPr>
          <w:rFonts w:ascii="Arial" w:eastAsia="Arial" w:hAnsi="Arial" w:cs="Arial"/>
        </w:rPr>
        <w:t>How are versions and corrections handled?</w:t>
      </w:r>
    </w:p>
    <w:p w14:paraId="01122A45" w14:textId="77777777" w:rsidR="00AB1F9C" w:rsidRDefault="00A01B55">
      <w:r>
        <w:rPr>
          <w:sz w:val="19"/>
        </w:rPr>
        <w:t>Plans, assessments, authority records, recommendations, important lifecycle changes, and other high-impact records retain version or history evidence. Manual correction is permitted where designed, but must remain attributable and must not erase the original source or prior validated state.</w:t>
      </w:r>
    </w:p>
    <w:p w14:paraId="30EC5B14" w14:textId="77777777" w:rsidR="00AB1F9C" w:rsidRDefault="00A01B55">
      <w:pPr>
        <w:pStyle w:val="Heading2"/>
      </w:pPr>
      <w:r>
        <w:rPr>
          <w:rFonts w:ascii="Arial" w:eastAsia="Arial" w:hAnsi="Arial" w:cs="Arial"/>
        </w:rPr>
        <w:t>How are retention, export, deletion, archive, and legal hold handled?</w:t>
      </w:r>
    </w:p>
    <w:p w14:paraId="766EE914" w14:textId="77777777" w:rsidR="00AB1F9C" w:rsidRDefault="00A01B55">
      <w:r>
        <w:rPr>
          <w:sz w:val="19"/>
        </w:rPr>
        <w:t>The architecture supports data-class and tenant-policy-based retention, archive state, legal hold, controlled export, retrieval, and purge/anonymization where permitted. Exact schedules and customer responsibilities must be confirmed contractually and configured for the deployment.</w:t>
      </w:r>
    </w:p>
    <w:p w14:paraId="17F08F4E" w14:textId="77777777" w:rsidR="00AB1F9C" w:rsidRDefault="00A01B55">
      <w:pPr>
        <w:pStyle w:val="Heading1"/>
        <w:pBdr>
          <w:bottom w:val="single" w:sz="8" w:space="3" w:color="14B8A6"/>
        </w:pBdr>
      </w:pPr>
      <w:r>
        <w:rPr>
          <w:rFonts w:ascii="Arial" w:eastAsia="Arial" w:hAnsi="Arial" w:cs="Arial"/>
        </w:rPr>
        <w:lastRenderedPageBreak/>
        <w:t>Security and operations</w:t>
      </w:r>
    </w:p>
    <w:p w14:paraId="02B655EB" w14:textId="77777777" w:rsidR="00AB1F9C" w:rsidRDefault="00A01B55">
      <w:pPr>
        <w:pStyle w:val="Heading2"/>
      </w:pPr>
      <w:r>
        <w:rPr>
          <w:rFonts w:ascii="Arial" w:eastAsia="Arial" w:hAnsi="Arial" w:cs="Arial"/>
        </w:rPr>
        <w:t>Is data encrypted?</w:t>
      </w:r>
    </w:p>
    <w:p w14:paraId="280ABCCA" w14:textId="77777777" w:rsidR="00AB1F9C" w:rsidRDefault="00A01B55">
      <w:r>
        <w:rPr>
          <w:sz w:val="19"/>
        </w:rPr>
        <w:t>The operating design requires HTTPS/TLS for public transport, protected secrets outside the release package, encrypted/versioned object storage, restricted database/cache network access, and environment-specific credentials. Final encryption-at-rest implementation depends on the selected hosting and storage services and is verified during deployment.</w:t>
      </w:r>
    </w:p>
    <w:p w14:paraId="3EF94F80" w14:textId="77777777" w:rsidR="00AB1F9C" w:rsidRDefault="00A01B55">
      <w:pPr>
        <w:pStyle w:val="Heading2"/>
      </w:pPr>
      <w:r>
        <w:rPr>
          <w:rFonts w:ascii="Arial" w:eastAsia="Arial" w:hAnsi="Arial" w:cs="Arial"/>
        </w:rPr>
        <w:t>What audit evidence exists?</w:t>
      </w:r>
    </w:p>
    <w:p w14:paraId="7D6BC23B" w14:textId="77777777" w:rsidR="00AB1F9C" w:rsidRDefault="00A01B55">
      <w:r>
        <w:rPr>
          <w:sz w:val="19"/>
        </w:rPr>
        <w:t>Security-relevant and business-governance actions are designed to produce structured audit or provenance records, including access, disclosure, workflow approvals, AI artifacts, imports, exports, restoration, and administrative actions where applicable.</w:t>
      </w:r>
    </w:p>
    <w:p w14:paraId="2A073E62" w14:textId="77777777" w:rsidR="00AB1F9C" w:rsidRDefault="00A01B55">
      <w:pPr>
        <w:pStyle w:val="Heading2"/>
      </w:pPr>
      <w:r>
        <w:rPr>
          <w:rFonts w:ascii="Arial" w:eastAsia="Arial" w:hAnsi="Arial" w:cs="Arial"/>
        </w:rPr>
        <w:t>How are backup and recovery handled?</w:t>
      </w:r>
    </w:p>
    <w:p w14:paraId="72F0ED45" w14:textId="77777777" w:rsidR="00AB1F9C" w:rsidRDefault="00A01B55">
      <w:r>
        <w:rPr>
          <w:sz w:val="19"/>
        </w:rPr>
        <w:t>The baseline requires automated database backup, versioned object storage, protected configuration/secret recovery planning, release-package retention, and documented restore procedures. Pilot and Production readiness should include a recorded backup/restore rehearsal appropriate to the deployment.</w:t>
      </w:r>
    </w:p>
    <w:p w14:paraId="1FCB6EB3" w14:textId="77777777" w:rsidR="00AB1F9C" w:rsidRDefault="00A01B55">
      <w:pPr>
        <w:pStyle w:val="Heading2"/>
      </w:pPr>
      <w:r>
        <w:rPr>
          <w:rFonts w:ascii="Arial" w:eastAsia="Arial" w:hAnsi="Arial" w:cs="Arial"/>
        </w:rPr>
        <w:t>How are incidents handled?</w:t>
      </w:r>
    </w:p>
    <w:p w14:paraId="5A627B9A" w14:textId="77777777" w:rsidR="00AB1F9C" w:rsidRDefault="00A01B55">
      <w:r>
        <w:rPr>
          <w:sz w:val="19"/>
        </w:rPr>
        <w:t>The SOP and operating model include privacy incident, security event, suspicious-access, disclosure, consent rollback, backup monitoring, restore, and support escalation procedures. Customer contacts, notification commitments, and legal obligations are finalized before pilot go-live.</w:t>
      </w:r>
    </w:p>
    <w:p w14:paraId="0F2CB417" w14:textId="77777777" w:rsidR="00AB1F9C" w:rsidRDefault="00A01B55">
      <w:pPr>
        <w:pStyle w:val="Heading1"/>
        <w:pBdr>
          <w:bottom w:val="single" w:sz="8" w:space="3" w:color="14B8A6"/>
        </w:pBdr>
      </w:pPr>
      <w:r>
        <w:rPr>
          <w:rFonts w:ascii="Arial" w:eastAsia="Arial" w:hAnsi="Arial" w:cs="Arial"/>
        </w:rPr>
        <w:t>AI governance</w:t>
      </w:r>
    </w:p>
    <w:p w14:paraId="41059479" w14:textId="77777777" w:rsidR="00AB1F9C" w:rsidRDefault="00A01B55">
      <w:pPr>
        <w:pStyle w:val="Heading2"/>
      </w:pPr>
      <w:r>
        <w:rPr>
          <w:rFonts w:ascii="Arial" w:eastAsia="Arial" w:hAnsi="Arial" w:cs="Arial"/>
        </w:rPr>
        <w:t>What does AI do?</w:t>
      </w:r>
    </w:p>
    <w:p w14:paraId="0E1DAFB1" w14:textId="77777777" w:rsidR="00AB1F9C" w:rsidRDefault="00A01B55">
      <w:r>
        <w:t>AI may assist with drafts, summaries, transcript enrichment, recommendations, explanation, approved SOP/policy retrieval, and evidence-informed plan drafting or section-level plan refinement. AI is not positioned as an autonomous diagnostic or professional decision-maker. For plan drafting, only authorized learner context, validated assessment results, and verified professional findings may be used as governed evidence.</w:t>
      </w:r>
    </w:p>
    <w:p w14:paraId="23E9C297" w14:textId="77777777" w:rsidR="00AB1F9C" w:rsidRDefault="00A01B55">
      <w:pPr>
        <w:pStyle w:val="Heading2"/>
      </w:pPr>
      <w:r>
        <w:rPr>
          <w:rFonts w:ascii="Arial" w:eastAsia="Arial" w:hAnsi="Arial" w:cs="Arial"/>
        </w:rPr>
        <w:t>Can AI publish a learner record or change access?</w:t>
      </w:r>
    </w:p>
    <w:p w14:paraId="59DAD18D" w14:textId="77777777" w:rsidR="00AB1F9C" w:rsidRDefault="00A01B55">
      <w:r>
        <w:t>No. Authoritative publication and high-impact actions remain behind human review and policy-controlled application boundaries. For AI-assisted planning, an approved AI proposal may create or amend the authoritative support plan only in Draft state; it cannot approve or publish the plan. AI output retains context, provider/model, evidence sources, reviewer, disposition, and supersession/provenance information where applicable.</w:t>
      </w:r>
    </w:p>
    <w:p w14:paraId="3AA5FEFE" w14:textId="77777777" w:rsidR="00AB1F9C" w:rsidRDefault="00A01B55">
      <w:pPr>
        <w:pStyle w:val="Heading2"/>
      </w:pPr>
      <w:r>
        <w:rPr>
          <w:rFonts w:ascii="Arial" w:eastAsia="Arial" w:hAnsi="Arial" w:cs="Arial"/>
        </w:rPr>
        <w:t>Is customer data used to train public models?</w:t>
      </w:r>
    </w:p>
    <w:p w14:paraId="0D3417EA" w14:textId="77777777" w:rsidR="00AB1F9C" w:rsidRDefault="00A01B55">
      <w:r>
        <w:rPr>
          <w:sz w:val="19"/>
        </w:rPr>
        <w:t>The intended control posture is provider- and agreement-specific: only approved, minimized, role-appropriate context may be sent to an AI provider. Training, retention, region, and provider terms must be confirmed for the selected service before production use. No blanket training claim should be assumed from this FAQ.</w:t>
      </w:r>
    </w:p>
    <w:p>
      <w:pPr>
        <w:pStyle w:val="Heading1"/>
      </w:pPr>
      <w:r>
        <w:t>Plans and AI-assisted planning</w:t>
      </w:r>
    </w:p>
    <w:p>
      <w:pPr>
        <w:pStyle w:val="Heading2"/>
      </w:pPr>
      <w:r>
        <w:t>Does Adaptive Learner support plans such as ITP and Behaviour Support Plans?</w:t>
      </w:r>
    </w:p>
    <w:p>
      <w:pPr/>
      <w:r>
        <w:t>Yes. The current planning model supports multiple concurrent, versioned plans for the same learner. Built-in plan types include General Learner Support Plan, Individual Education Plan (IEP, with IPP accepted as a controlled alias), Individual Transition Plan (ITP), Behaviour Support Plan, and Other / Tenant-defined Plan. Authorized tenant administrators can define additional plan types with governed section schemas. Existing plans remain pinned to the plan-template/schema version under which they were created rather than silently changing when a template is revised.</w:t>
      </w:r>
    </w:p>
    <w:p>
      <w:pPr>
        <w:pStyle w:val="Heading2"/>
      </w:pPr>
      <w:r>
        <w:t>Can AI create or customize plans from learner diagnoses and clinical test scores?</w:t>
      </w:r>
    </w:p>
    <w:p>
      <w:pPr/>
      <w:r>
        <w:t>Yes, within governed professional boundaries. AI-assisted planning can assemble validated assessment results and verified professional findings such as a diagnosis, provisional diagnosis, functional formulation, or clinical finding, together with other authorized learner context, to draft a typed plan or refine a selected plan section. The AI is not permitted to infer or create a diagnosis from test scores; diagnosis information must already exist as a verified professional finding. Evidence-linked recommendations must reference sources actually present in the governed AI context.</w:t>
      </w:r>
    </w:p>
    <w:p>
      <w:pPr>
        <w:pStyle w:val="Heading2"/>
      </w:pPr>
      <w:r>
        <w:t>How does AI-assisted plan customization stay under human control?</w:t>
      </w:r>
    </w:p>
    <w:p>
      <w:pPr/>
      <w:r>
        <w:t>The AI proposal remains a draft artifact until an authorized human reviews it. Once approved for promotion, it can create a new plan or amend an existing plan only in Draft state. Normal review, approval, publication, amendment, retirement, version-history, permission, and audit controls still apply. Section-level AI refinement is designed to update only the selected section while preserving unrelated plan content.</w:t>
      </w:r>
    </w:p>
    <w:p w14:paraId="228623FB" w14:textId="77777777" w:rsidR="00AB1F9C" w:rsidRDefault="00A01B55">
      <w:pPr>
        <w:pStyle w:val="Heading1"/>
        <w:pBdr>
          <w:bottom w:val="single" w:sz="8" w:space="3" w:color="14B8A6"/>
        </w:pBdr>
      </w:pPr>
      <w:r>
        <w:rPr>
          <w:rFonts w:ascii="Arial" w:eastAsia="Arial" w:hAnsi="Arial" w:cs="Arial"/>
        </w:rPr>
        <w:lastRenderedPageBreak/>
        <w:t>Accessibility</w:t>
      </w:r>
    </w:p>
    <w:p w14:paraId="0F1F21F6" w14:textId="77777777" w:rsidR="00AB1F9C" w:rsidRDefault="00A01B55">
      <w:pPr>
        <w:pStyle w:val="Heading2"/>
      </w:pPr>
      <w:r>
        <w:rPr>
          <w:rFonts w:ascii="Arial" w:eastAsia="Arial" w:hAnsi="Arial" w:cs="Arial"/>
        </w:rPr>
        <w:t>What is the accessibility posture?</w:t>
      </w:r>
    </w:p>
    <w:p w14:paraId="3866A2AC" w14:textId="77777777" w:rsidR="00AB1F9C" w:rsidRDefault="00A01B55">
      <w:r>
        <w:rPr>
          <w:sz w:val="19"/>
        </w:rPr>
        <w:t>Accessibility is a stated product and brand requirement. The design includes semantic structure, keyboard/focus expectations, contrast, touch-target and learner-profile considerations, and role-based testing. The product should not be represented as independently certified WCAG-compliant until representative testing and any required independent review are completed.</w:t>
      </w:r>
    </w:p>
    <w:p w14:paraId="547B8530" w14:textId="77777777" w:rsidR="00AB1F9C" w:rsidRDefault="00A01B55">
      <w:pPr>
        <w:pStyle w:val="Heading1"/>
        <w:pBdr>
          <w:bottom w:val="single" w:sz="8" w:space="3" w:color="14B8A6"/>
        </w:pBdr>
      </w:pPr>
      <w:r>
        <w:rPr>
          <w:rFonts w:ascii="Arial" w:eastAsia="Arial" w:hAnsi="Arial" w:cs="Arial"/>
        </w:rPr>
        <w:t>Learner devices</w:t>
      </w:r>
    </w:p>
    <w:p w14:paraId="21B16113" w14:textId="77777777" w:rsidR="00AB1F9C" w:rsidRDefault="00A01B55">
      <w:pPr>
        <w:pStyle w:val="Heading2"/>
      </w:pPr>
      <w:r>
        <w:rPr>
          <w:rFonts w:ascii="Arial" w:eastAsia="Arial" w:hAnsi="Arial" w:cs="Arial"/>
        </w:rPr>
        <w:t>Does the learner need an installed mobile app?</w:t>
      </w:r>
    </w:p>
    <w:p w14:paraId="2CE5D930" w14:textId="77777777" w:rsidR="00AB1F9C" w:rsidRDefault="00A01B55">
      <w:r>
        <w:rPr>
          <w:sz w:val="19"/>
        </w:rPr>
        <w:t>No native app is required for the baseline. A learner can use a responsive web/PWA surface launched through a short-lived QR code, short code, or deep link. A native app is deferred unless pilots prove a specific MDM, kiosk, push, heavy-offline, or hardware-control requirement.</w:t>
      </w:r>
    </w:p>
    <w:p w14:paraId="08C9E4A0" w14:textId="77777777" w:rsidR="00AB1F9C" w:rsidRDefault="00A01B55">
      <w:pPr>
        <w:pStyle w:val="Heading2"/>
      </w:pPr>
      <w:r>
        <w:rPr>
          <w:rFonts w:ascii="Arial" w:eastAsia="Arial" w:hAnsi="Arial" w:cs="Arial"/>
        </w:rPr>
        <w:t>Can the product work offline?</w:t>
      </w:r>
    </w:p>
    <w:p w14:paraId="44548DF7" w14:textId="77777777" w:rsidR="00AB1F9C" w:rsidRDefault="00A01B55">
      <w:r>
        <w:rPr>
          <w:sz w:val="19"/>
        </w:rPr>
        <w:t>The architecture supports a selective offline edge for approved learner/support activities, local queueing, and synchronization. Only minimum necessary data should be cached; restricted records and complex administrative workflows remain online and server-governed.</w:t>
      </w:r>
    </w:p>
    <w:p w14:paraId="7AD70D46" w14:textId="77777777" w:rsidR="00AB1F9C" w:rsidRDefault="00A01B55">
      <w:pPr>
        <w:pStyle w:val="Heading1"/>
        <w:pBdr>
          <w:bottom w:val="single" w:sz="8" w:space="3" w:color="14B8A6"/>
        </w:pBdr>
      </w:pPr>
      <w:r>
        <w:rPr>
          <w:rFonts w:ascii="Arial" w:eastAsia="Arial" w:hAnsi="Arial" w:cs="Arial"/>
        </w:rPr>
        <w:t>Procurement</w:t>
      </w:r>
    </w:p>
    <w:p w14:paraId="272540C0" w14:textId="77777777" w:rsidR="00AB1F9C" w:rsidRDefault="00A01B55">
      <w:pPr>
        <w:pStyle w:val="Heading2"/>
      </w:pPr>
      <w:r>
        <w:rPr>
          <w:rFonts w:ascii="Arial" w:eastAsia="Arial" w:hAnsi="Arial" w:cs="Arial"/>
        </w:rPr>
        <w:t>Has the product completed customer market acceptance?</w:t>
      </w:r>
    </w:p>
    <w:p w14:paraId="5B31C537" w14:textId="77777777" w:rsidR="00AB1F9C" w:rsidRDefault="00A01B55">
      <w:r>
        <w:rPr>
          <w:sz w:val="19"/>
        </w:rPr>
        <w:t>Not yet. The current approved wording is implementation-ready and available for controlled pilot validation. Representative role-based UAT, paid-pilot evidence, reference customers, and market-proven outcome claims remain to be established.</w:t>
      </w:r>
    </w:p>
    <w:p w14:paraId="1F67A30D" w14:textId="77777777" w:rsidR="00AB1F9C" w:rsidRDefault="00A01B55">
      <w:pPr>
        <w:pStyle w:val="Heading2"/>
      </w:pPr>
      <w:r>
        <w:rPr>
          <w:rFonts w:ascii="Arial" w:eastAsia="Arial" w:hAnsi="Arial" w:cs="Arial"/>
        </w:rPr>
        <w:t>What evidence can be provided during diligence?</w:t>
      </w:r>
    </w:p>
    <w:p w14:paraId="65E6FBEB" w14:textId="77777777" w:rsidR="00AB1F9C" w:rsidRDefault="00A01B55">
      <w:r>
        <w:rPr>
          <w:sz w:val="19"/>
        </w:rPr>
        <w:t>Subject to confidentiality and relevance, Adaptive Learner can provide architecture and data-flow summaries, functional testing and UAT approach, deployment and recovery evidence, SOP/control index, provider and subprocessor information, access-control descriptions, AI-governance controls, and customer-specific implementation documentation.</w:t>
      </w:r>
    </w:p>
    <w:p w14:paraId="695B4A2C" w14:textId="77777777" w:rsidR="00AB1F9C" w:rsidRDefault="00A01B55">
      <w:pPr>
        <w:pStyle w:val="Heading2"/>
      </w:pPr>
      <w:r>
        <w:rPr>
          <w:rFonts w:ascii="Arial" w:eastAsia="Arial" w:hAnsi="Arial" w:cs="Arial"/>
        </w:rPr>
        <w:t>Which items are customer-specific?</w:t>
      </w:r>
    </w:p>
    <w:p w14:paraId="6E397816" w14:textId="77777777" w:rsidR="00AB1F9C" w:rsidRDefault="00A01B55">
      <w:pPr>
        <w:rPr>
          <w:sz w:val="19"/>
        </w:rPr>
      </w:pPr>
      <w:r>
        <w:rPr>
          <w:sz w:val="19"/>
        </w:rPr>
        <w:t>Hosting region, identity federation, external providers, retention, data categories, integrations, accessibility acceptance, support commitments, incident notification, insurance, legal terms, pilot scope, and acceptance criteria are confirmed through discovery, proposal, diligence, and contracting.</w:t>
      </w:r>
    </w:p>
    <w:p w14:paraId="49DE5F3E" w14:textId="77777777" w:rsidR="00140C74" w:rsidRDefault="00140C74">
      <w:pPr>
        <w:rPr>
          <w:sz w:val="19"/>
        </w:rPr>
      </w:pPr>
    </w:p>
    <w:p w14:paraId="197F9E1A" w14:textId="7E0251ED" w:rsidR="00140C74" w:rsidRDefault="00140C74" w:rsidP="00140C74">
      <w:pPr>
        <w:pStyle w:val="Heading1"/>
        <w:pBdr>
          <w:bottom w:val="single" w:sz="8" w:space="3" w:color="14B8A6"/>
        </w:pBdr>
      </w:pPr>
      <w:r>
        <w:rPr>
          <w:rFonts w:ascii="Arial" w:eastAsia="Arial" w:hAnsi="Arial" w:cs="Arial"/>
        </w:rPr>
        <w:lastRenderedPageBreak/>
        <w:t>Compliance</w:t>
      </w:r>
    </w:p>
    <w:p w14:paraId="4FE0FB8C" w14:textId="2797C5B9" w:rsidR="00140C74" w:rsidRDefault="00140C74" w:rsidP="00140C74">
      <w:pPr>
        <w:pStyle w:val="Heading2"/>
      </w:pPr>
      <w:r>
        <w:t>Which privacy and legal frameworks is Adaptive Learner designed to support?</w:t>
      </w:r>
    </w:p>
    <w:p w14:paraId="3D8B9AB0" w14:textId="77777777" w:rsidR="006F02CE" w:rsidRDefault="00FD60FF" w:rsidP="00140C74">
      <w:pPr>
        <w:rPr>
          <w:sz w:val="19"/>
        </w:rPr>
      </w:pPr>
      <w:r>
        <w:t>Adaptive Learner is designed to support deployments operating under applicable Canadian and Saskatchewan privacy, information-management, and electronic-transactions requirements. Applicability depends on the customer, data, purpose, and deployment. Compliance is not established by software architecture alone; it also depends on contractual terms, policy configuration, operating procedures, user practices, the customer's legal authority, and ongoing governance evidence.</w:t>
      </w:r>
    </w:p>
    <w:p w14:paraId="051F1B3B" w14:textId="76A521CA" w:rsidR="00140C74" w:rsidRDefault="0032242F" w:rsidP="006F02CE">
      <w:pPr>
        <w:pStyle w:val="ListParagraph"/>
        <w:numPr>
          <w:ilvl w:val="0"/>
          <w:numId w:val="10"/>
        </w:numPr>
      </w:pPr>
      <w:r>
        <w:rPr>
          <w:rStyle w:val="IntenseEmphasis"/>
        </w:rPr>
        <w:t>Personal Information Protection and Electronic Documents Act (PIPEDA)</w:t>
      </w:r>
      <w:r>
        <w:t>, where applicable to Adaptive Learner's commercial handling of personal information, including accountability, safeguards, and protection of information transferred to third parties for processing.</w:t>
      </w:r>
    </w:p>
    <w:p w14:paraId="45C108E9" w14:textId="23CB3B13" w:rsidR="00140C74" w:rsidRDefault="006F02CE" w:rsidP="006F02CE">
      <w:pPr>
        <w:pStyle w:val="ListParagraph"/>
        <w:numPr>
          <w:ilvl w:val="0"/>
          <w:numId w:val="10"/>
        </w:numPr>
      </w:pPr>
      <w:r>
        <w:t xml:space="preserve">The </w:t>
      </w:r>
      <w:r>
        <w:rPr>
          <w:rStyle w:val="IntenseEmphasis"/>
        </w:rPr>
        <w:t>Local Authority Freedom of Information and Protection of Privacy Act (LA FOIP)</w:t>
      </w:r>
      <w:r>
        <w:t>, for Saskatchewan local-authority customers such as school boards and post-secondary institutions. Section 23.2 requires a written agreement before a local authority discloses personal information to an information management service provider, and section 8.2 of the LA FOIP Regulations specifies required agreement content, including the service, security and safeguarding obligations, and destruction provisions where applicable.</w:t>
      </w:r>
    </w:p>
    <w:p w14:paraId="30900521" w14:textId="6650327B" w:rsidR="006F02CE" w:rsidRDefault="006F02CE" w:rsidP="006F02CE">
      <w:pPr>
        <w:pStyle w:val="ListParagraph"/>
        <w:numPr>
          <w:ilvl w:val="0"/>
          <w:numId w:val="10"/>
        </w:numPr>
      </w:pPr>
      <w:r>
        <w:t xml:space="preserve">The </w:t>
      </w:r>
      <w:r>
        <w:rPr>
          <w:rStyle w:val="IntenseEmphasis"/>
        </w:rPr>
        <w:t>Health Information Protection Act (HIPA)</w:t>
      </w:r>
      <w:r>
        <w:t xml:space="preserve">, where a Saskatchewan trustee provides personal health information to Adaptive Learner in an information-management-service-provider role. Section 18(2), together with section 7 of </w:t>
      </w:r>
      <w:r>
        <w:rPr>
          <w:rStyle w:val="IntenseEmphasis"/>
        </w:rPr>
        <w:t>The Health Information Protection Regulations, 2023</w:t>
      </w:r>
      <w:r>
        <w:t>, requires a written agreement containing specified service, safeguarding, use, destruction, compliance, and breach-notification provisions.</w:t>
      </w:r>
    </w:p>
    <w:p w14:paraId="756BE636" w14:textId="2F386305" w:rsidR="006F02CE" w:rsidRDefault="006F02CE" w:rsidP="006F02CE">
      <w:pPr>
        <w:pStyle w:val="ListParagraph"/>
        <w:numPr>
          <w:ilvl w:val="0"/>
          <w:numId w:val="10"/>
        </w:numPr>
      </w:pPr>
      <w:r>
        <w:t xml:space="preserve">The </w:t>
      </w:r>
      <w:r>
        <w:rPr>
          <w:rStyle w:val="IntenseEmphasis"/>
        </w:rPr>
        <w:t>Electronic Information and Documents Act, 2000 (Saskatchewan)</w:t>
      </w:r>
      <w:r>
        <w:t>, which supports the legal use of electronic information, records, signatures, and electronic contract formation where the Act applies, subject to statutory exclusions and customer/counsel review.</w:t>
      </w:r>
    </w:p>
    <w:p w14:paraId="2DC0D8BB" w14:textId="77777777" w:rsidR="00AB1F9C" w:rsidRDefault="00A01B55">
      <w:pPr>
        <w:pStyle w:val="Heading1"/>
        <w:pageBreakBefore w:val="0"/>
        <w:pBdr>
          <w:bottom w:val="single" w:sz="8" w:space="3" w:color="14B8A6"/>
        </w:pBdr>
      </w:pPr>
      <w:r>
        <w:rPr>
          <w:rFonts w:ascii="Arial" w:eastAsia="Arial" w:hAnsi="Arial" w:cs="Arial"/>
        </w:rPr>
        <w:lastRenderedPageBreak/>
        <w:t>C</w:t>
      </w:r>
      <w:r>
        <w:rPr>
          <w:rFonts w:ascii="Arial" w:eastAsia="Arial" w:hAnsi="Arial" w:cs="Arial"/>
        </w:rPr>
        <w:t>urrent limitations and escalation path</w:t>
      </w:r>
    </w:p>
    <w:tbl>
      <w:tblPr>
        <w:tblW w:w="0" w:type="auto"/>
        <w:jc w:val="center"/>
        <w:tblLayout w:type="fixed"/>
        <w:tblLook w:val="04A0" w:firstRow="1" w:lastRow="0" w:firstColumn="1" w:lastColumn="0" w:noHBand="0" w:noVBand="1"/>
      </w:tblPr>
      <w:tblGrid>
        <w:gridCol w:w="4824"/>
        <w:gridCol w:w="4824"/>
      </w:tblGrid>
      <w:tr w:rsidR="00AB1F9C" w14:paraId="1577C158" w14:textId="77777777">
        <w:trPr>
          <w:jc w:val="center"/>
        </w:trPr>
        <w:tc>
          <w:tcPr>
            <w:tcW w:w="4824" w:type="dxa"/>
            <w:tcBorders>
              <w:top w:val="single" w:sz="4" w:space="0" w:color="D5E1E7"/>
              <w:left w:val="single" w:sz="4" w:space="0" w:color="D5E1E7"/>
              <w:bottom w:val="single" w:sz="4" w:space="0" w:color="D5E1E7"/>
              <w:right w:val="single" w:sz="4" w:space="0" w:color="D5E1E7"/>
            </w:tcBorders>
            <w:shd w:val="clear" w:color="auto" w:fill="EEF6F7"/>
            <w:tcMar>
              <w:top w:w="95" w:type="dxa"/>
              <w:left w:w="110" w:type="dxa"/>
              <w:bottom w:w="90" w:type="dxa"/>
              <w:right w:w="110" w:type="dxa"/>
            </w:tcMar>
          </w:tcPr>
          <w:p w14:paraId="5A4757C5" w14:textId="77777777" w:rsidR="00AB1F9C" w:rsidRDefault="00A01B55">
            <w:pPr>
              <w:spacing w:after="60"/>
            </w:pPr>
            <w:r>
              <w:rPr>
                <w:b/>
                <w:color w:val="0A1F33"/>
                <w:sz w:val="20"/>
              </w:rPr>
              <w:t>Publicly shareable</w:t>
            </w:r>
          </w:p>
          <w:p w14:paraId="7DFF1899" w14:textId="77777777" w:rsidR="00AB1F9C" w:rsidRDefault="00A01B55">
            <w:pPr>
              <w:pStyle w:val="ListBullet"/>
              <w:spacing w:after="20" w:line="240" w:lineRule="auto"/>
            </w:pPr>
            <w:r>
              <w:rPr>
                <w:sz w:val="17"/>
              </w:rPr>
              <w:t>This FAQ and customer product brief.</w:t>
            </w:r>
          </w:p>
          <w:p w14:paraId="3E5FA556" w14:textId="77777777" w:rsidR="00AB1F9C" w:rsidRDefault="00A01B55">
            <w:pPr>
              <w:pStyle w:val="ListBullet"/>
              <w:spacing w:after="20" w:line="240" w:lineRule="auto"/>
            </w:pPr>
            <w:r>
              <w:rPr>
                <w:sz w:val="17"/>
              </w:rPr>
              <w:t>High-level architecture/deployment summary.</w:t>
            </w:r>
          </w:p>
          <w:p w14:paraId="7656A28A" w14:textId="77777777" w:rsidR="00AB1F9C" w:rsidRDefault="00A01B55">
            <w:pPr>
              <w:pStyle w:val="ListBullet"/>
              <w:spacing w:after="20" w:line="240" w:lineRule="auto"/>
            </w:pPr>
            <w:r>
              <w:rPr>
                <w:sz w:val="17"/>
              </w:rPr>
              <w:t>Pilot offer and approved commercial ranges.</w:t>
            </w:r>
          </w:p>
          <w:p w14:paraId="74A68137" w14:textId="77777777" w:rsidR="00AB1F9C" w:rsidRDefault="00A01B55">
            <w:pPr>
              <w:pStyle w:val="ListBullet"/>
              <w:spacing w:after="20" w:line="240" w:lineRule="auto"/>
            </w:pPr>
            <w:r>
              <w:rPr>
                <w:sz w:val="17"/>
              </w:rPr>
              <w:t>Human-governed AI and role-shaped access explanation.</w:t>
            </w:r>
          </w:p>
        </w:tc>
        <w:tc>
          <w:tcPr>
            <w:tcW w:w="4824" w:type="dxa"/>
            <w:tcBorders>
              <w:top w:val="single" w:sz="4" w:space="0" w:color="D5E1E7"/>
              <w:left w:val="single" w:sz="4" w:space="0" w:color="D5E1E7"/>
              <w:bottom w:val="single" w:sz="4" w:space="0" w:color="D5E1E7"/>
              <w:right w:val="single" w:sz="4" w:space="0" w:color="D5E1E7"/>
            </w:tcBorders>
            <w:shd w:val="clear" w:color="auto" w:fill="EDF3FF"/>
            <w:tcMar>
              <w:top w:w="95" w:type="dxa"/>
              <w:left w:w="110" w:type="dxa"/>
              <w:bottom w:w="90" w:type="dxa"/>
              <w:right w:w="110" w:type="dxa"/>
            </w:tcMar>
          </w:tcPr>
          <w:p w14:paraId="32B80933" w14:textId="77777777" w:rsidR="00AB1F9C" w:rsidRDefault="00A01B55">
            <w:pPr>
              <w:spacing w:after="60"/>
            </w:pPr>
            <w:r>
              <w:rPr>
                <w:b/>
                <w:color w:val="0A1F33"/>
                <w:sz w:val="20"/>
              </w:rPr>
              <w:t>Controlled diligence</w:t>
            </w:r>
          </w:p>
          <w:p w14:paraId="5945CADC" w14:textId="77777777" w:rsidR="00AB1F9C" w:rsidRDefault="00A01B55">
            <w:pPr>
              <w:pStyle w:val="ListBullet"/>
              <w:spacing w:after="20" w:line="240" w:lineRule="auto"/>
            </w:pPr>
            <w:r>
              <w:rPr>
                <w:sz w:val="17"/>
              </w:rPr>
              <w:t>Detailed architecture and data flows.</w:t>
            </w:r>
          </w:p>
          <w:p w14:paraId="658431E3" w14:textId="77777777" w:rsidR="00AB1F9C" w:rsidRDefault="00A01B55">
            <w:pPr>
              <w:pStyle w:val="ListBullet"/>
              <w:spacing w:after="20" w:line="240" w:lineRule="auto"/>
            </w:pPr>
            <w:r>
              <w:rPr>
                <w:sz w:val="17"/>
              </w:rPr>
              <w:t>Security-sensitive runbooks or environment evidence.</w:t>
            </w:r>
          </w:p>
          <w:p w14:paraId="1B7AB4BF" w14:textId="77777777" w:rsidR="00AB1F9C" w:rsidRDefault="00A01B55">
            <w:pPr>
              <w:pStyle w:val="ListBullet"/>
              <w:spacing w:after="20" w:line="240" w:lineRule="auto"/>
            </w:pPr>
            <w:r>
              <w:rPr>
                <w:sz w:val="17"/>
              </w:rPr>
              <w:t>Provider agreements, credentials, exact topology, logs, or vulnerability detail.</w:t>
            </w:r>
          </w:p>
          <w:p w14:paraId="4D74D0B6" w14:textId="77777777" w:rsidR="00AB1F9C" w:rsidRDefault="00A01B55">
            <w:pPr>
              <w:pStyle w:val="ListBullet"/>
              <w:spacing w:after="20" w:line="240" w:lineRule="auto"/>
            </w:pPr>
            <w:r>
              <w:rPr>
                <w:sz w:val="17"/>
              </w:rPr>
              <w:t>Customer-specific privacy, legal, retention, and incident commitments.</w:t>
            </w:r>
          </w:p>
        </w:tc>
      </w:tr>
    </w:tbl>
    <w:p w14:paraId="2E40FDAC" w14:textId="77777777" w:rsidR="00AB1F9C" w:rsidRDefault="00AB1F9C">
      <w:pPr>
        <w:spacing w:after="0"/>
      </w:pPr>
    </w:p>
    <w:tbl>
      <w:tblPr>
        <w:tblW w:w="0" w:type="auto"/>
        <w:jc w:val="center"/>
        <w:tblLayout w:type="fixed"/>
        <w:tblLook w:val="04A0" w:firstRow="1" w:lastRow="0" w:firstColumn="1" w:lastColumn="0" w:noHBand="0" w:noVBand="1"/>
      </w:tblPr>
      <w:tblGrid>
        <w:gridCol w:w="5141"/>
        <w:gridCol w:w="5141"/>
      </w:tblGrid>
      <w:tr w:rsidR="00AB1F9C" w14:paraId="0C94691E" w14:textId="77777777">
        <w:trPr>
          <w:cantSplit/>
          <w:jc w:val="center"/>
        </w:trPr>
        <w:tc>
          <w:tcPr>
            <w:tcW w:w="5141" w:type="dxa"/>
            <w:shd w:val="clear" w:color="auto" w:fill="9A6700"/>
            <w:tcMar>
              <w:top w:w="45" w:type="dxa"/>
              <w:left w:w="0" w:type="dxa"/>
              <w:bottom w:w="45" w:type="dxa"/>
              <w:right w:w="0" w:type="dxa"/>
            </w:tcMar>
          </w:tcPr>
          <w:p w14:paraId="0E508BE0" w14:textId="77777777" w:rsidR="00AB1F9C" w:rsidRDefault="00AB1F9C"/>
        </w:tc>
        <w:tc>
          <w:tcPr>
            <w:tcW w:w="5141" w:type="dxa"/>
            <w:shd w:val="clear" w:color="auto" w:fill="FFF6DE"/>
            <w:tcMar>
              <w:top w:w="85" w:type="dxa"/>
              <w:left w:w="115" w:type="dxa"/>
              <w:bottom w:w="85" w:type="dxa"/>
              <w:right w:w="115" w:type="dxa"/>
            </w:tcMar>
          </w:tcPr>
          <w:p w14:paraId="4312C26D" w14:textId="77777777" w:rsidR="00AB1F9C" w:rsidRDefault="00A01B55">
            <w:pPr>
              <w:spacing w:after="40"/>
            </w:pPr>
            <w:r>
              <w:rPr>
                <w:b/>
                <w:color w:val="0A1F33"/>
                <w:sz w:val="20"/>
              </w:rPr>
              <w:t>Escalation</w:t>
            </w:r>
          </w:p>
          <w:p w14:paraId="41B9B653" w14:textId="77777777" w:rsidR="00AB1F9C" w:rsidRDefault="00A01B55">
            <w:pPr>
              <w:spacing w:after="0" w:line="250" w:lineRule="auto"/>
            </w:pPr>
            <w:r>
              <w:rPr>
                <w:sz w:val="19"/>
              </w:rPr>
              <w:t>Questions requiring detailed technical, privacy, security, accessibility, legal, insurance, tax, or provider conclusions are logged, assigned, and answered through the appropriate review path rather than improvised during sales conversations.</w:t>
            </w:r>
          </w:p>
        </w:tc>
      </w:tr>
    </w:tbl>
    <w:p w14:paraId="34916B02" w14:textId="77777777" w:rsidR="00AB1F9C" w:rsidRDefault="00AB1F9C">
      <w:pPr>
        <w:spacing w:after="0"/>
      </w:pPr>
    </w:p>
    <w:p w14:paraId="49C2EDAA" w14:textId="77777777" w:rsidR="00AB1F9C" w:rsidRDefault="00A01B55">
      <w:pPr>
        <w:pStyle w:val="Heading2"/>
      </w:pPr>
      <w:r>
        <w:rPr>
          <w:rFonts w:ascii="Arial" w:eastAsia="Arial" w:hAnsi="Arial" w:cs="Arial"/>
        </w:rPr>
        <w:t>Source basis and status control</w:t>
      </w:r>
    </w:p>
    <w:p w14:paraId="5624669A" w14:textId="77777777" w:rsidR="00AB1F9C" w:rsidRDefault="00A01B55">
      <w:pPr>
        <w:spacing w:after="40"/>
      </w:pPr>
      <w:r>
        <w:t>This document is grounded in the Adaptive Learner business plan, architecture, data, technical, actor/workflow, functional testing, administration, deployment, SOP, video-guide, Insight Matrix brand source set, and the current v1.54 typed-plan / governed AI-planning implementation increment. The commercial language deliberately distinguishes implemented capability from representative customer validation and market proof.</w:t>
      </w:r>
    </w:p>
    <w:sectPr w:rsidR="00AB1F9C" w:rsidSect="00034616">
      <w:headerReference w:type="default" r:id="rId8"/>
      <w:footerReference w:type="default" r:id="rId9"/>
      <w:pgSz w:w="12240" w:h="15840"/>
      <w:pgMar w:top="893" w:right="979" w:bottom="835" w:left="979" w:header="259" w:footer="25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75ECE" w14:textId="77777777" w:rsidR="00A01B55" w:rsidRDefault="00A01B55">
      <w:pPr>
        <w:spacing w:after="0" w:line="240" w:lineRule="auto"/>
      </w:pPr>
      <w:r>
        <w:separator/>
      </w:r>
    </w:p>
  </w:endnote>
  <w:endnote w:type="continuationSeparator" w:id="0">
    <w:p w14:paraId="472CBCB0" w14:textId="77777777" w:rsidR="00A01B55" w:rsidRDefault="00A01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F9D9B" w14:textId="77777777" w:rsidR="00AB1F9C" w:rsidRDefault="00AB1F9C">
    <w:pPr>
      <w:pStyle w:val="Footer"/>
    </w:pPr>
  </w:p>
  <w:tbl>
    <w:tblPr>
      <w:tblW w:w="0" w:type="auto"/>
      <w:tblLayout w:type="fixed"/>
      <w:tblLook w:val="04A0" w:firstRow="1" w:lastRow="0" w:firstColumn="1" w:lastColumn="0" w:noHBand="0" w:noVBand="1"/>
    </w:tblPr>
    <w:tblGrid>
      <w:gridCol w:w="10282"/>
    </w:tblGrid>
    <w:tr w:rsidR="00AB1F9C" w14:paraId="098647D3" w14:textId="77777777">
      <w:tc>
        <w:tcPr>
          <w:tcW w:w="10282" w:type="dxa"/>
          <w:tcMar>
            <w:top w:w="0" w:type="dxa"/>
            <w:left w:w="0" w:type="dxa"/>
            <w:bottom w:w="0" w:type="dxa"/>
            <w:right w:w="0" w:type="dxa"/>
          </w:tcMar>
        </w:tcPr>
        <w:p w14:paraId="03EE0387" w14:textId="77777777" w:rsidR="00AB1F9C" w:rsidRDefault="00AB1F9C"/>
        <w:tbl>
          <w:tblPr>
            <w:tblW w:w="0" w:type="auto"/>
            <w:tblLook w:val="04A0" w:firstRow="1" w:lastRow="0" w:firstColumn="1" w:lastColumn="0" w:noHBand="0" w:noVBand="1"/>
          </w:tblPr>
          <w:tblGrid>
            <w:gridCol w:w="2570"/>
            <w:gridCol w:w="2570"/>
            <w:gridCol w:w="2570"/>
            <w:gridCol w:w="2570"/>
          </w:tblGrid>
          <w:tr w:rsidR="00AB1F9C" w14:paraId="1B6B772F" w14:textId="77777777">
            <w:tc>
              <w:tcPr>
                <w:tcW w:w="2570" w:type="dxa"/>
                <w:shd w:val="clear" w:color="auto" w:fill="14B8A6"/>
                <w:tcMar>
                  <w:top w:w="18" w:type="dxa"/>
                  <w:left w:w="0" w:type="dxa"/>
                  <w:bottom w:w="18" w:type="dxa"/>
                  <w:right w:w="0" w:type="dxa"/>
                </w:tcMar>
              </w:tcPr>
              <w:p w14:paraId="5D09F8B4" w14:textId="77777777" w:rsidR="00AB1F9C" w:rsidRDefault="00AB1F9C"/>
            </w:tc>
            <w:tc>
              <w:tcPr>
                <w:tcW w:w="2570" w:type="dxa"/>
                <w:shd w:val="clear" w:color="auto" w:fill="67C23A"/>
                <w:tcMar>
                  <w:top w:w="18" w:type="dxa"/>
                  <w:left w:w="0" w:type="dxa"/>
                  <w:bottom w:w="18" w:type="dxa"/>
                  <w:right w:w="0" w:type="dxa"/>
                </w:tcMar>
              </w:tcPr>
              <w:p w14:paraId="6297071A" w14:textId="77777777" w:rsidR="00AB1F9C" w:rsidRDefault="00AB1F9C"/>
            </w:tc>
            <w:tc>
              <w:tcPr>
                <w:tcW w:w="2570" w:type="dxa"/>
                <w:shd w:val="clear" w:color="auto" w:fill="2563EB"/>
                <w:tcMar>
                  <w:top w:w="18" w:type="dxa"/>
                  <w:left w:w="0" w:type="dxa"/>
                  <w:bottom w:w="18" w:type="dxa"/>
                  <w:right w:w="0" w:type="dxa"/>
                </w:tcMar>
              </w:tcPr>
              <w:p w14:paraId="56F857FF" w14:textId="77777777" w:rsidR="00AB1F9C" w:rsidRDefault="00AB1F9C"/>
            </w:tc>
            <w:tc>
              <w:tcPr>
                <w:tcW w:w="2570" w:type="dxa"/>
                <w:shd w:val="clear" w:color="auto" w:fill="0A1F33"/>
                <w:tcMar>
                  <w:top w:w="18" w:type="dxa"/>
                  <w:left w:w="0" w:type="dxa"/>
                  <w:bottom w:w="18" w:type="dxa"/>
                  <w:right w:w="0" w:type="dxa"/>
                </w:tcMar>
              </w:tcPr>
              <w:p w14:paraId="1054AC87" w14:textId="77777777" w:rsidR="00AB1F9C" w:rsidRDefault="00AB1F9C"/>
            </w:tc>
          </w:tr>
        </w:tbl>
        <w:p w14:paraId="04C80C23" w14:textId="77777777" w:rsidR="00AB1F9C" w:rsidRDefault="00AB1F9C"/>
      </w:tc>
    </w:tr>
    <w:tr w:rsidR="00AB1F9C" w14:paraId="262FF5A4" w14:textId="77777777">
      <w:tc>
        <w:tcPr>
          <w:tcW w:w="10282" w:type="dxa"/>
        </w:tcPr>
        <w:p w14:paraId="7F7E2A76" w14:textId="7D88C1AD" w:rsidR="00AB1F9C" w:rsidRDefault="00A01B55">
          <w:r>
            <w:rPr>
              <w:b/>
              <w:color w:val="0A1F33"/>
              <w:sz w:val="14"/>
            </w:rPr>
            <w:t>RIGHT LEARNER. RIGHT PEOPLE. RIGHT ACTION. RIGHT EVIDENCE.</w:t>
          </w:r>
          <w:r>
            <w:tab/>
          </w:r>
          <w:r>
            <w:rPr>
              <w:color w:val="64748B"/>
              <w:sz w:val="14"/>
            </w:rPr>
            <w:t xml:space="preserve">FIRST-LEVEL TRUST </w:t>
          </w:r>
          <w:proofErr w:type="gramStart"/>
          <w:r>
            <w:rPr>
              <w:color w:val="64748B"/>
              <w:sz w:val="14"/>
            </w:rPr>
            <w:t>FAQ  |</w:t>
          </w:r>
          <w:proofErr w:type="gramEnd"/>
          <w:r>
            <w:rPr>
              <w:color w:val="64748B"/>
              <w:sz w:val="14"/>
            </w:rPr>
            <w:t xml:space="preserve">  </w:t>
          </w:r>
          <w:proofErr w:type="gramStart"/>
          <w:r>
            <w:rPr>
              <w:color w:val="64748B"/>
              <w:sz w:val="14"/>
            </w:rPr>
            <w:t>v1.</w:t>
          </w:r>
          <w:r w:rsidR="00B501B0">
            <w:rPr>
              <w:color w:val="64748B"/>
              <w:sz w:val="14"/>
            </w:rPr>
            <w:t>3</w:t>
          </w:r>
          <w:r>
            <w:rPr>
              <w:color w:val="64748B"/>
              <w:sz w:val="14"/>
            </w:rPr>
            <w:t xml:space="preserve">  |</w:t>
          </w:r>
          <w:proofErr w:type="gramEnd"/>
          <w:r>
            <w:rPr>
              <w:color w:val="64748B"/>
              <w:sz w:val="14"/>
            </w:rPr>
            <w:t xml:space="preserve">  Page </w:t>
          </w:r>
          <w:r>
            <w:rPr>
              <w:color w:val="64748B"/>
              <w:sz w:val="14"/>
            </w:rPr>
            <w:fldChar w:fldCharType="begin"/>
          </w:r>
          <w:r>
            <w:rPr>
              <w:color w:val="64748B"/>
              <w:sz w:val="14"/>
            </w:rPr>
            <w:instrText>PAGE</w:instrText>
          </w:r>
          <w:r w:rsidR="00EF33A7">
            <w:rPr>
              <w:color w:val="64748B"/>
              <w:sz w:val="14"/>
            </w:rPr>
            <w:fldChar w:fldCharType="separate"/>
          </w:r>
          <w:r w:rsidR="00EF33A7">
            <w:rPr>
              <w:noProof/>
              <w:color w:val="64748B"/>
              <w:sz w:val="14"/>
            </w:rPr>
            <w:t>1</w:t>
          </w:r>
          <w:r>
            <w:rPr>
              <w:color w:val="64748B"/>
              <w:sz w:val="14"/>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951D8" w14:textId="77777777" w:rsidR="00A01B55" w:rsidRDefault="00A01B55">
      <w:pPr>
        <w:spacing w:after="0" w:line="240" w:lineRule="auto"/>
      </w:pPr>
      <w:r>
        <w:separator/>
      </w:r>
    </w:p>
  </w:footnote>
  <w:footnote w:type="continuationSeparator" w:id="0">
    <w:p w14:paraId="68F57A55" w14:textId="77777777" w:rsidR="00A01B55" w:rsidRDefault="00A01B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A636B" w14:textId="77777777" w:rsidR="00AB1F9C" w:rsidRDefault="00AB1F9C">
    <w:pPr>
      <w:pStyle w:val="Header"/>
    </w:pPr>
  </w:p>
  <w:tbl>
    <w:tblPr>
      <w:tblW w:w="0" w:type="auto"/>
      <w:tblLayout w:type="fixed"/>
      <w:tblLook w:val="04A0" w:firstRow="1" w:lastRow="0" w:firstColumn="1" w:lastColumn="0" w:noHBand="0" w:noVBand="1"/>
    </w:tblPr>
    <w:tblGrid>
      <w:gridCol w:w="4824"/>
      <w:gridCol w:w="5458"/>
    </w:tblGrid>
    <w:tr w:rsidR="00AB1F9C" w14:paraId="0B11C25A" w14:textId="77777777">
      <w:tc>
        <w:tcPr>
          <w:tcW w:w="4824" w:type="dxa"/>
        </w:tcPr>
        <w:p w14:paraId="1074D5E4" w14:textId="77777777" w:rsidR="00AB1F9C" w:rsidRDefault="00A01B55">
          <w:r>
            <w:rPr>
              <w:noProof/>
            </w:rPr>
            <w:drawing>
              <wp:inline distT="0" distB="0" distL="0" distR="0" wp14:anchorId="3A82ADA6" wp14:editId="424C8283">
                <wp:extent cx="2057400" cy="617220"/>
                <wp:effectExtent l="0" t="0" r="0" b="0"/>
                <wp:docPr id="1" name="Picture 1" descr="Adaptive Learner Collaboration Platform primary horizontal logo" title="Adaptive Learn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ive-learner-primary-horizontal-full-color-1200px.png"/>
                        <pic:cNvPicPr/>
                      </pic:nvPicPr>
                      <pic:blipFill>
                        <a:blip r:embed="rId1"/>
                        <a:stretch>
                          <a:fillRect/>
                        </a:stretch>
                      </pic:blipFill>
                      <pic:spPr>
                        <a:xfrm>
                          <a:off x="0" y="0"/>
                          <a:ext cx="2057400" cy="617220"/>
                        </a:xfrm>
                        <a:prstGeom prst="rect">
                          <a:avLst/>
                        </a:prstGeom>
                      </pic:spPr>
                    </pic:pic>
                  </a:graphicData>
                </a:graphic>
              </wp:inline>
            </w:drawing>
          </w:r>
        </w:p>
      </w:tc>
      <w:tc>
        <w:tcPr>
          <w:tcW w:w="5458" w:type="dxa"/>
        </w:tcPr>
        <w:p w14:paraId="6D3E5362" w14:textId="77777777" w:rsidR="00AB1F9C" w:rsidRDefault="00A01B55">
          <w:pPr>
            <w:jc w:val="right"/>
          </w:pPr>
          <w:r>
            <w:rPr>
              <w:b/>
              <w:color w:val="0A1F33"/>
              <w:sz w:val="16"/>
            </w:rPr>
            <w:t>Jan Franken, B.Sc., MBA</w:t>
          </w:r>
          <w:r>
            <w:rPr>
              <w:b/>
              <w:color w:val="0A1F33"/>
              <w:sz w:val="16"/>
            </w:rPr>
            <w:br/>
          </w:r>
          <w:r>
            <w:rPr>
              <w:color w:val="64748B"/>
              <w:sz w:val="15"/>
            </w:rPr>
            <w:t>Founder, Adaptive Learner</w:t>
          </w:r>
          <w:r>
            <w:rPr>
              <w:color w:val="64748B"/>
              <w:sz w:val="15"/>
            </w:rPr>
            <w:br/>
            <w:t>jan@janfranken.ca</w:t>
          </w:r>
          <w:r>
            <w:rPr>
              <w:color w:val="64748B"/>
              <w:sz w:val="15"/>
            </w:rPr>
            <w:br/>
            <w:t>Moose Jaw, Saskatchewan, Canada</w:t>
          </w:r>
        </w:p>
      </w:tc>
    </w:tr>
    <w:tr w:rsidR="00AB1F9C" w14:paraId="2C2CF705" w14:textId="77777777">
      <w:tc>
        <w:tcPr>
          <w:tcW w:w="10282" w:type="dxa"/>
          <w:gridSpan w:val="2"/>
          <w:tcMar>
            <w:top w:w="0" w:type="dxa"/>
            <w:left w:w="0" w:type="dxa"/>
            <w:bottom w:w="0" w:type="dxa"/>
            <w:right w:w="0" w:type="dxa"/>
          </w:tcMar>
        </w:tcPr>
        <w:p w14:paraId="4359B1F7" w14:textId="77777777" w:rsidR="00AB1F9C" w:rsidRDefault="00AB1F9C">
          <w:pPr>
            <w:spacing w:after="0"/>
          </w:pPr>
        </w:p>
        <w:tbl>
          <w:tblPr>
            <w:tblW w:w="0" w:type="auto"/>
            <w:tblLook w:val="04A0" w:firstRow="1" w:lastRow="0" w:firstColumn="1" w:lastColumn="0" w:noHBand="0" w:noVBand="1"/>
          </w:tblPr>
          <w:tblGrid>
            <w:gridCol w:w="2570"/>
            <w:gridCol w:w="2570"/>
            <w:gridCol w:w="2570"/>
            <w:gridCol w:w="2570"/>
          </w:tblGrid>
          <w:tr w:rsidR="00AB1F9C" w14:paraId="4FC9FE02" w14:textId="77777777">
            <w:tc>
              <w:tcPr>
                <w:tcW w:w="2570" w:type="dxa"/>
                <w:shd w:val="clear" w:color="auto" w:fill="14B8A6"/>
                <w:tcMar>
                  <w:top w:w="25" w:type="dxa"/>
                  <w:left w:w="0" w:type="dxa"/>
                  <w:bottom w:w="25" w:type="dxa"/>
                  <w:right w:w="0" w:type="dxa"/>
                </w:tcMar>
              </w:tcPr>
              <w:p w14:paraId="630D1E34" w14:textId="77777777" w:rsidR="00AB1F9C" w:rsidRDefault="00AB1F9C"/>
            </w:tc>
            <w:tc>
              <w:tcPr>
                <w:tcW w:w="2570" w:type="dxa"/>
                <w:shd w:val="clear" w:color="auto" w:fill="67C23A"/>
                <w:tcMar>
                  <w:top w:w="25" w:type="dxa"/>
                  <w:left w:w="0" w:type="dxa"/>
                  <w:bottom w:w="25" w:type="dxa"/>
                  <w:right w:w="0" w:type="dxa"/>
                </w:tcMar>
              </w:tcPr>
              <w:p w14:paraId="094CAA0E" w14:textId="77777777" w:rsidR="00AB1F9C" w:rsidRDefault="00AB1F9C"/>
            </w:tc>
            <w:tc>
              <w:tcPr>
                <w:tcW w:w="2570" w:type="dxa"/>
                <w:shd w:val="clear" w:color="auto" w:fill="2563EB"/>
                <w:tcMar>
                  <w:top w:w="25" w:type="dxa"/>
                  <w:left w:w="0" w:type="dxa"/>
                  <w:bottom w:w="25" w:type="dxa"/>
                  <w:right w:w="0" w:type="dxa"/>
                </w:tcMar>
              </w:tcPr>
              <w:p w14:paraId="5D24838C" w14:textId="77777777" w:rsidR="00AB1F9C" w:rsidRDefault="00AB1F9C"/>
            </w:tc>
            <w:tc>
              <w:tcPr>
                <w:tcW w:w="2570" w:type="dxa"/>
                <w:shd w:val="clear" w:color="auto" w:fill="0A1F33"/>
                <w:tcMar>
                  <w:top w:w="25" w:type="dxa"/>
                  <w:left w:w="0" w:type="dxa"/>
                  <w:bottom w:w="25" w:type="dxa"/>
                  <w:right w:w="0" w:type="dxa"/>
                </w:tcMar>
              </w:tcPr>
              <w:p w14:paraId="5CD76EFE" w14:textId="77777777" w:rsidR="00AB1F9C" w:rsidRDefault="00AB1F9C"/>
            </w:tc>
          </w:tr>
        </w:tbl>
        <w:p w14:paraId="1322769C" w14:textId="77777777" w:rsidR="00AB1F9C" w:rsidRDefault="00AB1F9C"/>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2E6C1442"/>
    <w:multiLevelType w:val="hybridMultilevel"/>
    <w:tmpl w:val="BF34A2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3896064">
    <w:abstractNumId w:val="8"/>
  </w:num>
  <w:num w:numId="2" w16cid:durableId="50543786">
    <w:abstractNumId w:val="6"/>
  </w:num>
  <w:num w:numId="3" w16cid:durableId="1076123628">
    <w:abstractNumId w:val="5"/>
  </w:num>
  <w:num w:numId="4" w16cid:durableId="2010867687">
    <w:abstractNumId w:val="4"/>
  </w:num>
  <w:num w:numId="5" w16cid:durableId="2000495132">
    <w:abstractNumId w:val="7"/>
  </w:num>
  <w:num w:numId="6" w16cid:durableId="1329677140">
    <w:abstractNumId w:val="3"/>
  </w:num>
  <w:num w:numId="7" w16cid:durableId="1014921417">
    <w:abstractNumId w:val="2"/>
  </w:num>
  <w:num w:numId="8" w16cid:durableId="1662394737">
    <w:abstractNumId w:val="1"/>
  </w:num>
  <w:num w:numId="9" w16cid:durableId="2015766275">
    <w:abstractNumId w:val="0"/>
  </w:num>
  <w:num w:numId="10" w16cid:durableId="118313389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0B6D"/>
    <w:rsid w:val="0006063C"/>
    <w:rsid w:val="00082666"/>
    <w:rsid w:val="000932C6"/>
    <w:rsid w:val="00140C74"/>
    <w:rsid w:val="0015074B"/>
    <w:rsid w:val="001768A1"/>
    <w:rsid w:val="002020DB"/>
    <w:rsid w:val="0029639D"/>
    <w:rsid w:val="0032242F"/>
    <w:rsid w:val="00326F90"/>
    <w:rsid w:val="003417DD"/>
    <w:rsid w:val="003D34A4"/>
    <w:rsid w:val="004B1D7B"/>
    <w:rsid w:val="006C15BF"/>
    <w:rsid w:val="006F02CE"/>
    <w:rsid w:val="007B2C65"/>
    <w:rsid w:val="00822CF0"/>
    <w:rsid w:val="008E24C7"/>
    <w:rsid w:val="00A01B55"/>
    <w:rsid w:val="00A1134F"/>
    <w:rsid w:val="00A91038"/>
    <w:rsid w:val="00AA1D8D"/>
    <w:rsid w:val="00AB1F9C"/>
    <w:rsid w:val="00B31264"/>
    <w:rsid w:val="00B400A6"/>
    <w:rsid w:val="00B47730"/>
    <w:rsid w:val="00B501B0"/>
    <w:rsid w:val="00B712A5"/>
    <w:rsid w:val="00C45832"/>
    <w:rsid w:val="00CB0664"/>
    <w:rsid w:val="00CF1FD4"/>
    <w:rsid w:val="00D14DEE"/>
    <w:rsid w:val="00DE36E5"/>
    <w:rsid w:val="00E8037B"/>
    <w:rsid w:val="00EF33A7"/>
    <w:rsid w:val="00FC693F"/>
    <w:rsid w:val="00FD60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7EB50F9B-61B4-41EA-B4B4-B93FCF35C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line="259" w:lineRule="auto"/>
    </w:pPr>
    <w:rPr>
      <w:rFonts w:ascii="Arial" w:eastAsia="Arial" w:hAnsi="Arial" w:cs="Arial"/>
      <w:color w:val="172033"/>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0A1F33"/>
      <w:sz w:val="40"/>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color w:val="0F766E"/>
      <w:sz w:val="28"/>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color w:val="2563EB"/>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rPr>
      <w:rFonts w:ascii="Arial" w:eastAsia="Arial" w:hAnsi="Arial" w:cs="Arial"/>
    </w:rPr>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rPr>
      <w:rFonts w:ascii="Arial" w:eastAsia="Arial" w:hAnsi="Arial" w:cs="Arial"/>
    </w:rPr>
  </w:style>
  <w:style w:type="paragraph" w:styleId="NoSpacing">
    <w:name w:val="No Spacing"/>
    <w:uiPriority w:val="1"/>
    <w:qFormat/>
    <w:rsid w:val="00FC693F"/>
    <w:pPr>
      <w:spacing w:after="0" w:line="240" w:lineRule="auto"/>
    </w:pPr>
    <w:rPr>
      <w:rFonts w:ascii="Arial" w:eastAsia="Arial" w:hAnsi="Arial" w:cs="Arial"/>
    </w:r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line="240" w:lineRule="auto"/>
      <w:contextualSpacing/>
    </w:pPr>
    <w:rPr>
      <w:rFonts w:asciiTheme="majorHAnsi" w:eastAsiaTheme="majorEastAsia" w:hAnsiTheme="majorHAnsi" w:cstheme="majorBidi"/>
      <w:b/>
      <w:color w:val="0A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rPr>
      <w:rFonts w:ascii="Arial" w:eastAsia="Arial" w:hAnsi="Arial" w:cs="Arial"/>
    </w:rPr>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rPr>
      <w:rFonts w:ascii="Arial" w:eastAsia="Arial" w:hAnsi="Arial" w:cs="Arial"/>
    </w:rPr>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rFonts w:ascii="Arial" w:eastAsia="Arial" w:hAnsi="Arial" w:cs="Arial"/>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Arial" w:eastAsia="Arial" w:hAnsi="Arial" w:cs="Arial"/>
      <w:sz w:val="20"/>
      <w:szCs w:val="20"/>
    </w:rPr>
  </w:style>
  <w:style w:type="character" w:customStyle="1" w:styleId="MacroTextChar">
    <w:name w:val="Macro Text Char"/>
    <w:basedOn w:val="DefaultParagraphFont"/>
    <w:link w:val="MacroText"/>
    <w:uiPriority w:val="99"/>
    <w:rsid w:val="0029639D"/>
    <w:rPr>
      <w:rFonts w:ascii="Arial" w:eastAsia="Arial" w:hAnsi="Arial" w:cs="Arial"/>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rFonts w:ascii="Arial" w:eastAsia="Arial" w:hAnsi="Arial" w:cs="Arial"/>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rFonts w:ascii="Arial" w:eastAsia="Arial" w:hAnsi="Arial" w:cs="Arial"/>
      <w:b/>
      <w:bCs/>
    </w:rPr>
  </w:style>
  <w:style w:type="character" w:styleId="Emphasis">
    <w:name w:val="Emphasis"/>
    <w:basedOn w:val="DefaultParagraphFont"/>
    <w:uiPriority w:val="20"/>
    <w:qFormat/>
    <w:rsid w:val="00FC693F"/>
    <w:rPr>
      <w:rFonts w:ascii="Arial" w:eastAsia="Arial" w:hAnsi="Arial" w:cs="Arial"/>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rFonts w:ascii="Arial" w:eastAsia="Arial" w:hAnsi="Arial" w:cs="Arial"/>
      <w:b/>
      <w:bCs/>
      <w:i/>
      <w:iCs/>
      <w:color w:val="4F81BD" w:themeColor="accent1"/>
    </w:rPr>
  </w:style>
  <w:style w:type="character" w:styleId="SubtleEmphasis">
    <w:name w:val="Subtle Emphasis"/>
    <w:basedOn w:val="DefaultParagraphFont"/>
    <w:uiPriority w:val="19"/>
    <w:qFormat/>
    <w:rsid w:val="00FC693F"/>
    <w:rPr>
      <w:rFonts w:ascii="Arial" w:eastAsia="Arial" w:hAnsi="Arial" w:cs="Arial"/>
      <w:i/>
      <w:iCs/>
      <w:color w:val="808080" w:themeColor="text1" w:themeTint="7F"/>
    </w:rPr>
  </w:style>
  <w:style w:type="character" w:styleId="IntenseEmphasis">
    <w:name w:val="Intense Emphasis"/>
    <w:basedOn w:val="DefaultParagraphFont"/>
    <w:uiPriority w:val="21"/>
    <w:qFormat/>
    <w:rsid w:val="00FC693F"/>
    <w:rPr>
      <w:rFonts w:ascii="Arial" w:eastAsia="Arial" w:hAnsi="Arial" w:cs="Arial"/>
      <w:b/>
      <w:bCs/>
      <w:i/>
      <w:iCs/>
      <w:color w:val="4F81BD" w:themeColor="accent1"/>
    </w:rPr>
  </w:style>
  <w:style w:type="character" w:styleId="SubtleReference">
    <w:name w:val="Subtle Reference"/>
    <w:basedOn w:val="DefaultParagraphFont"/>
    <w:uiPriority w:val="31"/>
    <w:qFormat/>
    <w:rsid w:val="00FC693F"/>
    <w:rPr>
      <w:rFonts w:ascii="Arial" w:eastAsia="Arial" w:hAnsi="Arial" w:cs="Arial"/>
      <w:smallCaps/>
      <w:color w:val="C0504D" w:themeColor="accent2"/>
      <w:u w:val="single"/>
    </w:rPr>
  </w:style>
  <w:style w:type="character" w:styleId="IntenseReference">
    <w:name w:val="Intense Reference"/>
    <w:basedOn w:val="DefaultParagraphFont"/>
    <w:uiPriority w:val="32"/>
    <w:qFormat/>
    <w:rsid w:val="00FC693F"/>
    <w:rPr>
      <w:rFonts w:ascii="Arial" w:eastAsia="Arial" w:hAnsi="Arial" w:cs="Arial"/>
      <w:b/>
      <w:bCs/>
      <w:smallCaps/>
      <w:color w:val="C0504D" w:themeColor="accent2"/>
      <w:spacing w:val="5"/>
      <w:u w:val="single"/>
    </w:rPr>
  </w:style>
  <w:style w:type="character" w:styleId="BookTitle">
    <w:name w:val="Book Title"/>
    <w:basedOn w:val="DefaultParagraphFont"/>
    <w:uiPriority w:val="33"/>
    <w:qFormat/>
    <w:rsid w:val="00FC693F"/>
    <w:rPr>
      <w:rFonts w:ascii="Arial" w:eastAsia="Arial" w:hAnsi="Arial" w:cs="Arial"/>
      <w:b/>
      <w:bCs/>
      <w:smallCaps/>
      <w:spacing w:val="5"/>
    </w:rPr>
  </w:style>
  <w:style w:type="paragraph" w:styleId="TOCHeading">
    <w:name w:val="TOC Heading"/>
    <w:basedOn w:val="Heading1"/>
    <w:next w:val="Normal"/>
    <w:uiPriority w:val="39"/>
    <w:semiHidden/>
    <w:unhideWhenUsed/>
    <w:qFormat/>
    <w:rsid w:val="00FC693F"/>
    <w:pPr>
      <w:outlineLvl w:val="9"/>
    </w:pPr>
    <w:rPr>
      <w:rFonts w:ascii="Arial" w:eastAsia="Arial" w:hAnsi="Arial" w:cs="Arial"/>
    </w:rPr>
  </w:style>
  <w:style w:type="table" w:styleId="TableGrid">
    <w:name w:val="Table Grid"/>
    <w:basedOn w:val="TableNormal"/>
    <w:uiPriority w:val="59"/>
    <w:rsid w:val="00FC693F"/>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rFonts w:ascii="Arial" w:eastAsia="Arial" w:hAnsi="Arial"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rFonts w:ascii="Arial" w:eastAsia="Arial" w:hAnsi="Arial"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rFonts w:ascii="Arial" w:eastAsia="Arial" w:hAnsi="Arial" w:cs="Arial"/>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rFonts w:ascii="Arial" w:eastAsia="Arial" w:hAnsi="Arial" w:cs="Arial"/>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rFonts w:ascii="Arial" w:eastAsia="Arial" w:hAnsi="Arial" w:cs="Arial"/>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rFonts w:ascii="Arial" w:eastAsia="Arial" w:hAnsi="Arial" w:cs="Arial"/>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rFonts w:ascii="Arial" w:eastAsia="Arial" w:hAnsi="Arial" w:cs="Arial"/>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rPr>
      <w:rFonts w:ascii="Arial" w:eastAsia="Arial" w:hAnsi="Arial"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rPr>
      <w:rFonts w:ascii="Arial" w:eastAsia="Arial" w:hAnsi="Arial"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rPr>
      <w:rFonts w:ascii="Arial" w:eastAsia="Arial" w:hAnsi="Arial"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rPr>
      <w:rFonts w:ascii="Arial" w:eastAsia="Arial" w:hAnsi="Arial" w:cs="Arial"/>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rPr>
      <w:rFonts w:ascii="Arial" w:eastAsia="Arial" w:hAnsi="Arial"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rPr>
      <w:rFonts w:ascii="Arial" w:eastAsia="Arial" w:hAnsi="Arial"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rFonts w:ascii="Arial" w:eastAsia="Arial" w:hAnsi="Arial" w:cs="Arial"/>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rPr>
      <w:rFonts w:ascii="Arial" w:eastAsia="Arial" w:hAnsi="Arial"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rPr>
      <w:rFonts w:ascii="Arial" w:eastAsia="Arial" w:hAnsi="Arial" w:cs="Aria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rFonts w:ascii="Arial" w:eastAsia="Arial" w:hAnsi="Arial" w:cs="Arial"/>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rFonts w:ascii="Arial" w:eastAsia="Arial" w:hAnsi="Arial" w:cs="Arial"/>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rFonts w:ascii="Arial" w:eastAsia="Arial" w:hAnsi="Arial" w:cs="Arial"/>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rFonts w:ascii="Arial" w:eastAsia="Arial" w:hAnsi="Arial" w:cs="Arial"/>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randSmall">
    <w:name w:val="Brand Small"/>
    <w:pPr>
      <w:spacing w:after="40" w:line="240" w:lineRule="auto"/>
    </w:pPr>
    <w:rPr>
      <w:rFonts w:ascii="Arial" w:eastAsia="Arial" w:hAnsi="Arial" w:cs="Arial"/>
      <w:color w:val="64748B"/>
      <w:sz w:val="16"/>
    </w:rPr>
  </w:style>
  <w:style w:type="paragraph" w:customStyle="1" w:styleId="BrandQuote">
    <w:name w:val="Brand Quote"/>
    <w:pPr>
      <w:spacing w:after="80"/>
    </w:pPr>
    <w:rPr>
      <w:rFonts w:ascii="Arial" w:eastAsia="Arial" w:hAnsi="Arial" w:cs="Arial"/>
      <w:b/>
      <w:color w:val="0A1F33"/>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1342</Words>
  <Characters>9576</Characters>
  <Application>Microsoft Office Word</Application>
  <DocSecurity>0</DocSecurity>
  <Lines>174</Lines>
  <Paragraphs>107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10811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Jan Franken</cp:lastModifiedBy>
  <cp:revision>26</cp:revision>
  <dcterms:created xsi:type="dcterms:W3CDTF">2026-07-29T17:39:00Z</dcterms:created>
  <dcterms:modified xsi:type="dcterms:W3CDTF">2026-07-29T17:58:00Z</dcterms:modified>
  <cp:category/>
</cp:coreProperties>
</file>