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ectPr w:rsidR="00FC693F" w:rsidRPr="0006063C" w:rsidSect="00034616">
      <w:pgSz w:w="12240" w:h="15840"/>
      <w:pgMar w:top="1008" w:right="1080" w:bottom="936" w:left="1080" w:header="720" w:footer="720" w:gutter="0"/>
      <w:cols w:space="720"/>
      <w:docGrid w:linePitch="360"/>
    </w:sectPr>
    <w:p>
      <w:pPr>
        <w:jc w:val="left"/>
      </w:pPr>
      <w:r>
        <w:drawing>
          <wp:inline xmlns:a="http://schemas.openxmlformats.org/drawingml/2006/main" xmlns:pic="http://schemas.openxmlformats.org/drawingml/2006/picture">
            <wp:extent cx="2057400" cy="617220"/>
            <wp:docPr id="1" name="Picture 1" descr="Adaptive Learner logo" title="Adaptive Learner"/>
            <wp:cNvGraphicFramePr>
              <a:graphicFrameLocks noChangeAspect="1"/>
            </wp:cNvGraphicFramePr>
            <a:graphic>
              <a:graphicData uri="http://schemas.openxmlformats.org/drawingml/2006/picture">
                <pic:pic>
                  <pic:nvPicPr>
                    <pic:cNvPr id="0" name="adaptive-learner-primary-horizontal-full-color-1200px.png"/>
                    <pic:cNvPicPr/>
                  </pic:nvPicPr>
                  <pic:blipFill>
                    <a:blip r:embed="rId9"/>
                    <a:stretch>
                      <a:fillRect/>
                    </a:stretch>
                  </pic:blipFill>
                  <pic:spPr>
                    <a:xfrm>
                      <a:off x="0" y="0"/>
                      <a:ext cx="2057400" cy="617220"/>
                    </a:xfrm>
                    <a:prstGeom prst="rect"/>
                  </pic:spPr>
                </pic:pic>
              </a:graphicData>
            </a:graphic>
          </wp:inline>
        </w:drawing>
      </w:r>
    </w:p>
    <w:p>
      <w:pPr>
        <w:pStyle w:val="Title"/>
      </w:pPr>
      <w:r>
        <w:rPr>
          <w:color w:val="0F172A"/>
        </w:rPr>
        <w:t>Adaptive Learner – First-Level Trust FAQ</w:t>
      </w:r>
    </w:p>
    <w:p>
      <w:r>
        <w:rPr>
          <w:b/>
          <w:color w:val="0F766E"/>
          <w:sz w:val="26"/>
        </w:rPr>
        <w:t>Hosting, access, data, security, Family Tenant continuity, learner portability, reporting, interoperability, AI-native governance, licensing, paid pilots, accessibility and procurement</w:t>
      </w:r>
    </w:p>
    <w:p>
      <w:r>
        <w:rPr>
          <w:b/>
          <w:color w:val="475569"/>
        </w:rPr>
        <w:t>Version 1.8 • 2026-08-29</w:t>
      </w:r>
    </w:p>
    <w:p>
      <w:pPr>
        <w:jc w:val="center"/>
      </w:pPr>
      <w:r>
        <w:rPr>
          <w:b/>
          <w:color w:val="475569"/>
        </w:rPr>
        <w:t>RIGHT LEARNER. RIGHT PEOPLE. RIGHT ACTION. RIGHT EVIDENCE.</w:t>
      </w:r>
    </w:p>
    <w:tbl>
      <w:tblPr>
        <w:tblStyle w:val="TableGrid"/>
        <w:tblW w:type="auto" w:w="0"/>
        <w:jc w:val="center"/>
        <w:tblLook w:firstColumn="1" w:firstRow="1" w:lastColumn="0" w:lastRow="0" w:noHBand="0" w:noVBand="1" w:val="04A0"/>
      </w:tblPr>
      <w:tblGrid>
        <w:gridCol w:w="5040"/>
        <w:gridCol w:w="5040"/>
      </w:tblGrid>
      <w:tr>
        <w:trPr>
          <w:tblHeader w:val="true"/>
        </w:trPr>
        <w:tc>
          <w:tcPr>
            <w:tcW w:type="dxa" w:w="10080"/>
            <w:gridSpan w:val="2"/>
          </w:tcPr>
          <w:p>
            <w:r>
              <w:t>Public first-level summary. It is not a certification, legal opinion, or binding price quote.</w:t>
            </w:r>
          </w:p>
        </w:tc>
      </w:tr>
      <w:tr>
        <w:tc>
          <w:tcPr>
            <w:tcW w:type="dxa" w:w="5040"/>
          </w:tcPr>
          <w:p>
            <w:r>
              <w:t>Product</w:t>
            </w:r>
          </w:p>
        </w:tc>
        <w:tc>
          <w:tcPr>
            <w:tcW w:type="dxa" w:w="5040"/>
          </w:tcPr>
          <w:p>
            <w:r>
              <w:t>Adaptive Learner Collaboration Platform</w:t>
            </w:r>
          </w:p>
        </w:tc>
      </w:tr>
      <w:tr>
        <w:tc>
          <w:tcPr>
            <w:tcW w:type="dxa" w:w="5040"/>
          </w:tcPr>
          <w:p>
            <w:r>
              <w:t>Trust position</w:t>
            </w:r>
          </w:p>
        </w:tc>
        <w:tc>
          <w:tcPr>
            <w:tcW w:type="dxa" w:w="5040"/>
          </w:tcPr>
          <w:p>
            <w:r>
              <w:t>AI-native. Human-governed. Customer data remains under customer control.</w:t>
            </w:r>
          </w:p>
        </w:tc>
      </w:tr>
      <w:tr>
        <w:tc>
          <w:tcPr>
            <w:tcW w:type="dxa" w:w="5040"/>
          </w:tcPr>
          <w:p>
            <w:r>
              <w:t>Product reference</w:t>
            </w:r>
          </w:p>
        </w:tc>
        <w:tc>
          <w:tcPr>
            <w:tcW w:type="dxa" w:w="5040"/>
          </w:tcPr>
          <w:p>
            <w:r>
              <w:t>Solution Beta v5.20.fte-p8</w:t>
            </w:r>
          </w:p>
        </w:tc>
      </w:tr>
      <w:tr>
        <w:tc>
          <w:tcPr>
            <w:tcW w:type="dxa" w:w="5040"/>
          </w:tcPr>
          <w:p>
            <w:r>
              <w:t>Scope</w:t>
            </w:r>
          </w:p>
        </w:tc>
        <w:tc>
          <w:tcPr>
            <w:tcW w:type="dxa" w:w="5040"/>
          </w:tcPr>
          <w:p>
            <w:r>
              <w:t>First-level diligence information; contractual and deployment-specific details are confirmed during evaluation.</w:t>
            </w:r>
          </w:p>
        </w:tc>
      </w:tr>
    </w:tbl>
    <w:p>
      <w:r>
        <w:t>This FAQ addresses buyer questions about Family Tenant continuity, source authority, closed-loop handoff, commercial licensing and paid pilots in addition to hosting, identity, customer-data lifecycle, learner portability, controlled reporting/printing, interoperability, accessibility and procurement.</w:t>
      </w:r>
    </w:p>
    <w:p>
      <w:pPr>
        <w:pStyle w:val="Heading1"/>
      </w:pPr>
      <w:r>
        <w:t>Deployment and hosting</w:t>
      </w:r>
    </w:p>
    <w:p>
      <w:r>
        <w:rPr>
          <w:b/>
          <w:color w:val="0F172A"/>
        </w:rPr>
        <w:t>How is Adaptive Learner delivered?</w:t>
      </w:r>
    </w:p>
    <w:p>
      <w:r>
        <w:t>The baseline is a secure browser-based ASP.NET Core / Blazor application running on Linux behind nginx and Kestrel, with PostgreSQL as the operational system of record, distributed cache, versioned object storage and durable workflow/background state. The learner experience is responsive web/PWA-first.</w:t>
      </w:r>
    </w:p>
    <w:p>
      <w:r>
        <w:rPr>
          <w:b/>
          <w:color w:val="0F172A"/>
        </w:rPr>
        <w:t>Where is customer data hosted in the production baseline?</w:t>
      </w:r>
    </w:p>
    <w:p>
      <w:r>
        <w:t>The approved production baseline uses AWS in a Canadian AWS Region: application workloads on Amazon EC2 inside an Amazon VPC, PostgreSQL on Amazon RDS for PostgreSQL, and documents/artifacts on Amazon S3 with AWS KMS-managed encryption. Customer-specific region and external-provider processing details are confirmed during diligence and contracting.</w:t>
      </w:r>
    </w:p>
    <w:p>
      <w:pPr>
        <w:pStyle w:val="Heading1"/>
      </w:pPr>
      <w:r>
        <w:t>Identity and access</w:t>
      </w:r>
    </w:p>
    <w:p>
      <w:r>
        <w:rPr>
          <w:b/>
          <w:color w:val="0F172A"/>
        </w:rPr>
        <w:t>How is access controlled?</w:t>
      </w:r>
    </w:p>
    <w:p>
      <w:r>
        <w:t>Role permissions are refined at runtime by tenant, organization, learner assignment, purpose of use, record classification, consent, minor-authority mode, archive state and other applicable policy inputs. Administrative role assignment is catalog-backed and validated server-side.</w:t>
      </w:r>
    </w:p>
    <w:p>
      <w:r>
        <w:rPr>
          <w:b/>
          <w:color w:val="0F172A"/>
        </w:rPr>
        <w:t>Does every participant see the same learner record?</w:t>
      </w:r>
    </w:p>
    <w:p>
      <w:r>
        <w:t>No. The product separates shared educational content, operationally sensitive information, restricted professional records, governance/legal information, family-safe views, learner activity context and archive-restricted material.</w:t>
      </w:r>
    </w:p>
    <w:p>
      <w:r>
        <w:rPr>
          <w:b/>
          <w:color w:val="0F172A"/>
        </w:rPr>
        <w:t>Where do users manage their password or sign-in account?</w:t>
      </w:r>
    </w:p>
    <w:p>
      <w:r>
        <w:t>In production deployments that use external identity, the configured identity provider owns the credential lifecycle. Adaptive Learner exposes authenticated account/sign-in status and can provide an HTTPS-only handoff to the approved account-management portal; it does not create a second local password-management surface for those users. Controlled TestUAT demo accounts remain centrally seed-managed.</w:t>
      </w:r>
    </w:p>
    <w:p>
      <w:pPr>
        <w:pStyle w:val="Heading1"/>
      </w:pPr>
      <w:r>
        <w:t>Data governance</w:t>
      </w:r>
    </w:p>
    <w:p>
      <w:r>
        <w:rPr>
          <w:b/>
          <w:color w:val="0F172A"/>
        </w:rPr>
        <w:t>How is tenant data separated?</w:t>
      </w:r>
    </w:p>
    <w:p>
      <w:r>
        <w:t>Tenant-owned operational, archive, projection and commercial data carries tenant scope. Cross-tenant exposure is prohibited except for explicitly designed platform-governance, correlation or governed exchange entities, and tenant isolation is a release-testing concern.</w:t>
      </w:r>
    </w:p>
    <w:p>
      <w:r>
        <w:rPr>
          <w:b/>
          <w:color w:val="0F172A"/>
        </w:rPr>
        <w:t>Who owns the customer and learner data?</w:t>
      </w:r>
    </w:p>
    <w:p>
      <w:r>
        <w:t>As between each customer and Adaptive Learner, the customer retains ownership and control of Customer Data in its tenant, subject to applicable law and individual rights. Adaptive Learner and its licensors retain ownership of the platform, software, architecture, generic workflows, templates and related intellectual property. A Family Tenant or receiving tenant can hold an authorized copy of another source's record without becoming authoritative for the source record; source authority and provenance remain explicit.</w:t>
      </w:r>
    </w:p>
    <w:p>
      <w:r>
        <w:rPr>
          <w:b/>
          <w:color w:val="0F172A"/>
        </w:rPr>
        <w:t>How is customer data managed?</w:t>
      </w:r>
    </w:p>
    <w:p>
      <w:r>
        <w:t>Customer Data is tenant-scoped, classified and handled through server-enforced access controls shaped by role, learner assignment, purpose of use, record class, consent/authority and lifecycle state. Material records retain source lineage, version/history and audit or provenance evidence. Operational data, versioned artifacts, backups and recovery records are managed under the approved deployment and customer data-governance configuration. AI receives only approved, minimized context through the governed orchestration boundary.</w:t>
      </w:r>
    </w:p>
    <w:p>
      <w:r>
        <w:rPr>
          <w:b/>
          <w:color w:val="0F172A"/>
        </w:rPr>
        <w:t>How are data retained and archived?</w:t>
      </w:r>
    </w:p>
    <w:p>
      <w:r>
        <w:t>Retention is governed by data class, customer policy, jurisdictional requirements, legal hold and contract. Archiving is a governed lifecycle state: archived learners, identities and artifacts leave normal active workspaces and move behind stricter archive access while authorized history and attribution remain retrievable. A legal hold overrides scheduled destructive disposition until the hold is released.</w:t>
      </w:r>
    </w:p>
    <w:p>
      <w:r>
        <w:rPr>
          <w:b/>
          <w:color w:val="0F172A"/>
        </w:rPr>
        <w:t>How is data deleted or anonymized?</w:t>
      </w:r>
    </w:p>
    <w:p>
      <w:r>
        <w:t>When deletion is permitted and approved, the platform supports governed disposition that can delete or anonymize tenant-owned data while preserving records that must lawfully or contractually remain, such as legal-hold, governance, commercial, cross-tenant continuity or shared-reference evidence. Destructive actions are resumable, evidenced and independently reconciled. Historical backup/disaster-recovery copies are not synchronously scrubbed from every recovery point; they remain protected and expire under the documented backup-retention lifecycle.</w:t>
      </w:r>
    </w:p>
    <w:p>
      <w:r>
        <w:rPr>
          <w:b/>
          <w:color w:val="0F172A"/>
        </w:rPr>
        <w:t>What happens to my data when I offboard?</w:t>
      </w:r>
    </w:p>
    <w:p>
      <w:r>
        <w:t>Offboarding is a controlled tenant lifecycle, not a simple account switch-off. The process inventories and classifies tenant data, quiesces new activity, creates an immutable evidenced export, applies approved retention/legal-hold decisions, executes resumable delete/anonymize/retain dispositions, and then performs independent reconciliation. Closure is blocked if unexpected residual data, failed disposition work or a new legal hold remains. Cross-tenant continuity records are retained or detached according to their shared source/destination responsibilities rather than silently deleted with one tenant.</w:t>
      </w:r>
    </w:p>
    <w:p>
      <w:pPr>
        <w:pStyle w:val="Heading1"/>
      </w:pPr>
      <w:r>
        <w:t>AI governance</w:t>
      </w:r>
    </w:p>
    <w:p>
      <w:r>
        <w:rPr>
          <w:b/>
          <w:color w:val="0F172A"/>
        </w:rPr>
        <w:t>What does AI do?</w:t>
      </w:r>
    </w:p>
    <w:p>
      <w:r>
        <w:t>Adaptive Learner is AI-native: governed AI is built into the operating model for system help, drafting and editing, transcript enrichment, adaptive recommendations, evidence/progress synthesis, assessment assistance, case-conference preparation, report narrative drafting, and operations/governance review. Outputs remain source-grounded and bounded to the authorized context and workflow.</w:t>
      </w:r>
    </w:p>
    <w:p>
      <w:r>
        <w:rPr>
          <w:b/>
          <w:color w:val="0F172A"/>
        </w:rPr>
        <w:t>Can AI publish a learner record or change access?</w:t>
      </w:r>
    </w:p>
    <w:p>
      <w:r>
        <w:t>No. AI-native does not mean autonomous authority. Authoritative publication and high-impact actions remain behind human review and policy-controlled application boundaries. For AI-assisted planning, an approved proposal can create or amend a support plan only in Draft state; it cannot approve or publish the plan. AI cannot independently diagnose, change access, make legal/privacy/compliance determinations, or restart/reconfigure/deploy/restore the platform.</w:t>
      </w:r>
    </w:p>
    <w:p>
      <w:r>
        <w:rPr>
          <w:b/>
          <w:color w:val="0F172A"/>
        </w:rPr>
        <w:t>Does the OpenAI provider store data?</w:t>
      </w:r>
    </w:p>
    <w:p>
      <w:r>
        <w:t>Adaptive Learner's current OpenAI Responses API integration is configured to send ordinary requests with store:false so response application state is not intentionally retained for later retrieval through the Responses API. OpenAI states that API inputs and outputs are not used to train or improve its models by default. However, store:false is not the same as Zero Data Retention: by default, OpenAI may retain customer content in abuse-monitoring logs for up to 30 days unless the organization or project has approved Modified Abuse Monitoring or Zero Data Retention controls. Some endpoints and features have their own storage requirements. For each customer deployment, the approved endpoint, model and features, retention controls, data-residency and processing configuration, contractual terms/DPA, and applicable subprocessors must be confirmed before Production use.</w:t>
      </w:r>
    </w:p>
    <w:p>
      <w:pPr>
        <w:pStyle w:val="Heading1"/>
      </w:pPr>
      <w:r>
        <w:t>Plans and AI-assisted planning</w:t>
      </w:r>
    </w:p>
    <w:p>
      <w:r>
        <w:rPr>
          <w:b/>
          <w:color w:val="0F172A"/>
        </w:rPr>
        <w:t>Does Adaptive Learner support ITP and Behaviour Support Plans?</w:t>
      </w:r>
    </w:p>
    <w:p>
      <w:r>
        <w:t>Yes. The current baseline supports multiple concurrent, versioned plans, including General Learner Support Plan, IEP (with IPP as a controlled alias), ITP, Behaviour Support Plan, and Other / tenant-defined plans. Tenant-defined schemas are versioned and existing plans remain pinned to their creation schema version.</w:t>
      </w:r>
    </w:p>
    <w:p>
      <w:r>
        <w:rPr>
          <w:b/>
          <w:color w:val="0F172A"/>
        </w:rPr>
        <w:t>Can AI create or customize plans from diagnoses and clinical test scores?</w:t>
      </w:r>
    </w:p>
    <w:p>
      <w:r>
        <w:t>Within governed professional boundaries, AI-assisted planning may use validated assessment results, verified professional findings such as a diagnosis or functional formulation, and other authorized learner context. It does not infer or create a diagnosis from test scores; diagnosis information must already exist as a verified professional finding, and evidence-linked recommendations must reference sources present in the governed context.</w:t>
      </w:r>
    </w:p>
    <w:p>
      <w:pPr>
        <w:pStyle w:val="Heading1"/>
      </w:pPr>
      <w:r>
        <w:t>Learner continuity and portability</w:t>
      </w:r>
    </w:p>
    <w:p>
      <w:r>
        <w:rPr>
          <w:b/>
          <w:color w:val="0F172A"/>
        </w:rPr>
        <w:t>What happens when a learner moves to another Adaptive Learner tenant?</w:t>
      </w:r>
    </w:p>
    <w:p>
      <w:r>
        <w:t>Adaptive Learner supports a governed Tenant A to Tenant B transfer workflow. The source tenant prepares and approves a minimum-necessary canonical package, the destination tenant validates the package and intended tenant, matches or provisions the learner using governed identifiers, imports authorized records as immutable historical records with source provenance, re-establishes current authority and consent, and creates new destination-owned work as needed. The source record is not moved by changing TenantId and the source tenant does not gain visibility into the destination tenant's later learner activity.</w:t>
      </w:r>
    </w:p>
    <w:p>
      <w:r>
        <w:rPr>
          <w:b/>
          <w:color w:val="0F172A"/>
        </w:rPr>
        <w:t>What if the learner moves to an organization that does not use Adaptive Learner?</w:t>
      </w:r>
    </w:p>
    <w:p>
      <w:r>
        <w:t>An authorized source tenant can issue a controlled external transition package containing human-readable continuity material and machine-readable structured records according to the approved release scope. The package remains tied to its recipient, purpose, manifest and integrity checks. The receiving organization does not need Adaptive Learner to read the human-readable material.</w:t>
      </w:r>
    </w:p>
    <w:p>
      <w:r>
        <w:rPr>
          <w:b/>
          <w:color w:val="0F172A"/>
        </w:rPr>
        <w:t>Does consent or guardian authority automatically transfer to the new tenant?</w:t>
      </w:r>
    </w:p>
    <w:p>
      <w:r>
        <w:t>No. Source consent and authority may be included as historical evidence when authorized, but they do not grant current authority in the destination tenant. The receiving tenant must establish its own current guardian/minor authority, consent, staff assignments and purpose-of-use before current support actions proceed.</w:t>
      </w:r>
    </w:p>
    <w:p>
      <w:r>
        <w:rPr>
          <w:b/>
          <w:color w:val="0F172A"/>
        </w:rPr>
        <w:t>How is transferred history protected from being rewritten?</w:t>
      </w:r>
    </w:p>
    <w:p>
      <w:r>
        <w:t>Imported source records receive destination-owned identifiers and retain source tenant, source learner, source record ID, source version, source checksum, transfer-package ID and import provenance. Published source plans and other historical records remain immutable history. Continuing support creates new destination-owned work rather than editing the source tenant's historical record.</w:t>
      </w:r>
    </w:p>
    <w:p>
      <w:r>
        <w:rPr>
          <w:b/>
          <w:color w:val="0F172A"/>
        </w:rPr>
        <w:t>What happens if a school tenant later becomes part of a district or division tenant?</w:t>
      </w:r>
    </w:p>
    <w:p>
      <w:r>
        <w:t>Adaptive Learner supports a governed school-to-district tenant consolidation. The former school tenant is not turned into a nested child tenant and its records are not moved by rewriting tenant keys. The workflow establishes destination school mappings, imports authorized history with provenance, reconciles configuration/integrations/commercial posture, verifies a zero-unexplained-delta cutover, activates destination-owned configuration and archives the source tenant with recovery and release evidence.</w:t>
      </w:r>
    </w:p>
    <w:p>
      <w:pPr>
        <w:pStyle w:val="Heading1"/>
      </w:pPr>
      <w:r>
        <w:t>Family Tenant continuity</w:t>
      </w:r>
    </w:p>
    <w:p>
      <w:r>
        <w:rPr>
          <w:b/>
          <w:color w:val="0F172A"/>
        </w:rPr>
        <w:t>Can a family have its own Adaptive Learner tenant?</w:t>
      </w:r>
    </w:p>
    <w:p>
      <w:r>
        <w:t>Yes. A Family Tenant is a first-class independent tenant and data boundary intended to preserve learner-support continuity across changes in school, clinic, professional or support team. It is not a child tenant under a school and it is more than a parent portal.</w:t>
      </w:r>
    </w:p>
    <w:p>
      <w:r>
        <w:rPr>
          <w:b/>
          <w:color w:val="0F172A"/>
        </w:rPr>
        <w:t>Does a Family Tenant own school, clinic or professional records?</w:t>
      </w:r>
    </w:p>
    <w:p>
      <w:r>
        <w:t>No. Adaptive Learner separates commercial ownership, verified family relationship, continuity stewardship, guardian/legal authority, professional authority and source authority. A Family Tenant can organize family-originated information and authorized copies, but a copied school, clinic or professional record remains source-attributed and cannot be silently relabelled as Family-authored truth.</w:t>
      </w:r>
    </w:p>
    <w:p>
      <w:r>
        <w:rPr>
          <w:b/>
          <w:color w:val="0F172A"/>
        </w:rPr>
        <w:t>What can a Family Tenant keep in the learner continuity context?</w:t>
      </w:r>
    </w:p>
    <w:p>
      <w:r>
        <w:t>A Family Tenant can maintain a tenant-local learner context with family-originated strengths, interests, home supports, observations, accessibility preferences, milestones and other authorized continuity information. Historical external records can be retained as provenance-preserving copies. Protected longitudinal access requires a verified family relationship or active continuity stewardship rather than payment alone.</w:t>
      </w:r>
    </w:p>
    <w:p>
      <w:r>
        <w:rPr>
          <w:b/>
          <w:color w:val="0F172A"/>
        </w:rPr>
        <w:t>Can a family create support plans and activities?</w:t>
      </w:r>
    </w:p>
    <w:p>
      <w:r>
        <w:t>Yes. The Family support workspace supports Family Support Plans, goals, activities, evidence, bounded collaboration and family review. A Family Support Plan is not an IEP, institutional plan, diagnosis or professional finding. Family evidence remains attributable to its contributor and can participate in governed continuity when authorized.</w:t>
      </w:r>
    </w:p>
    <w:p>
      <w:r>
        <w:rPr>
          <w:b/>
          <w:color w:val="0F172A"/>
        </w:rPr>
        <w:t>Can a Family Tenant invite teachers, tutors or professionals?</w:t>
      </w:r>
    </w:p>
    <w:p>
      <w:r>
        <w:t>Yes, through learner-scoped bounded collaborator invitations. An invitation does not create a professional credential or canonical platform role. A regulated or school professional must already hold the matching active governed role before professional-guidance capability is accepted. The relationship becomes learner-scoped rather than a tenant-wide institutional assignment.</w:t>
      </w:r>
    </w:p>
    <w:p>
      <w:r>
        <w:rPr>
          <w:b/>
          <w:color w:val="0F172A"/>
        </w:rPr>
        <w:t>How does a Family Tenant handoff close the loop when support moves?</w:t>
      </w:r>
    </w:p>
    <w:p>
      <w:r>
        <w:t>The continuity workflow composes the governed learner-portability package with explicit receipt, learner and information reconciliation, destination authority, accepted responsibility, a named next accountable action and owner, acknowledgement and completion. Dashboards show waiting-for-receipt, reconciliation, responsibility and acknowledgement states. Observed age bands are operational attention thresholds, not contractual SLAs.</w:t>
      </w:r>
    </w:p>
    <w:p>
      <w:pPr>
        <w:pStyle w:val="Heading1"/>
      </w:pPr>
      <w:r>
        <w:t>Planning, reporting and interoperability</w:t>
      </w:r>
    </w:p>
    <w:p>
      <w:r>
        <w:rPr>
          <w:b/>
          <w:color w:val="0F172A"/>
        </w:rPr>
        <w:t>Can learner support plans be printed or exported?</w:t>
      </w:r>
    </w:p>
    <w:p>
      <w:r>
        <w:t>Yes. Any supported published plan type can be assembled into the governed Learner Plan Report and issued as controlled accessible HTML/PDF/print derivatives. The controlled copy is tied to the exact selected published plan/version and report snapshot, with release/distribution and provenance evidence rather than simply printing a transient live screen.</w:t>
      </w:r>
    </w:p>
    <w:p>
      <w:r>
        <w:rPr>
          <w:b/>
          <w:color w:val="0F172A"/>
        </w:rPr>
        <w:t>How does Adaptive Learner support targeted intervention planning?</w:t>
      </w:r>
    </w:p>
    <w:p>
      <w:r>
        <w:t>Adaptive Learner combines jurisdiction-aware standards, assessment evidence and canonical skill relationships with educator confirmation. A broad learner profile can be narrowed to one or two priority targets and organized into a repeatable targeted intervention cycle, commonly Acquire, Connect, Transfer and Review, while the educator remains accountable for confirmation, delivery choices and final educational judgment.</w:t>
      </w:r>
    </w:p>
    <w:p>
      <w:r>
        <w:rPr>
          <w:b/>
          <w:color w:val="0F172A"/>
        </w:rPr>
        <w:t>Can Adaptive Learner integrate with MySchoolSask, Edsby or Clever?</w:t>
      </w:r>
    </w:p>
    <w:p>
      <w:r>
        <w:t>Yes. The current provider-neutral integration architecture supports governed roster/identity and learning-delivery patterns for MySchoolSask/Follett Aspen, Clever, Edsby and generic OneRoster/OIDC providers. External roster, SSO or LMS context does not replace Adaptive Learner authorization or learner-support authority. Production activation depends on the interfaces, credentials, field scope, residency/retention and write authority actually approved for the tenant.</w:t>
      </w:r>
    </w:p>
    <w:p>
      <w:r>
        <w:rPr>
          <w:b/>
          <w:color w:val="0F172A"/>
        </w:rPr>
        <w:t>How are reports and evidence kept connected to learner history?</w:t>
      </w:r>
    </w:p>
    <w:p>
      <w:r>
        <w:t>Formal reports are assembled from authoritative versioned source snapshots and retain report lifecycle, release, distribution, correction/supersession and provenance evidence. Learning evidence remains linked to plans, curriculum targets, assignments, attempts and educator review. Family continuity reports additionally identify source authority and provenance so family-originated information and copied external records remain distinguishable.</w:t>
      </w:r>
    </w:p>
    <w:p>
      <w:pPr>
        <w:pStyle w:val="Heading1"/>
      </w:pPr>
      <w:r>
        <w:t>Licensing and pricing model</w:t>
      </w:r>
    </w:p>
    <w:p>
      <w:r>
        <w:rPr>
          <w:b/>
          <w:color w:val="0F172A"/>
        </w:rPr>
        <w:t>How are licenses measured?</w:t>
      </w:r>
    </w:p>
    <w:p>
      <w:r>
        <w:t>Adaptive Learner is licensed by tenant and active supported learner capacity, with active supported learners as the primary commercial meter. Institution plans can also include an allowance of named core organization users. Learner accounts and approved learner-linked teachers, support workers, coordinators, parents/guardians, caregivers and similar collaborators are included rather than purchased as full-price seats. AI-native capability is included for reasonable standard use.</w:t>
      </w:r>
    </w:p>
    <w:p>
      <w:r>
        <w:rPr>
          <w:b/>
          <w:color w:val="0F172A"/>
        </w:rPr>
        <w:t>For a psychology practice supporting 50 learners, what is counted?</w:t>
      </w:r>
    </w:p>
    <w:p>
      <w:r>
        <w:t>The commercial quantity starts with one Institution tenant and 50 active supported learners. The selected institutional plan also carries an included allowance for named core organization users. Learner accounts, parent/guardian accounts and reasonable learner-linked collaborator accounts are included under the collaboration model rather than billed as full seats. Governed AI-native functions are part of the subscription rather than a per-professional AI add-on.</w:t>
      </w:r>
    </w:p>
    <w:p>
      <w:r>
        <w:rPr>
          <w:b/>
          <w:color w:val="0F172A"/>
        </w:rPr>
        <w:t>Are teachers, support workers, coordinators, parents and caregivers separate paid seats?</w:t>
      </w:r>
    </w:p>
    <w:p>
      <w:r>
        <w:t>No. Teachers, support workers, coordinators, parents, caregivers and other approved learner-linked participants are assigned collaborators. Their visibility and actions are controlled by tenant, role, learner assignment, purpose of use, consent or authority, record classification and workflow state. They are not full-price seats simply because they participate in a learner support circle.</w:t>
      </w:r>
    </w:p>
    <w:p>
      <w:r>
        <w:rPr>
          <w:b/>
          <w:color w:val="0F172A"/>
        </w:rPr>
        <w:t>Which users count toward the core organization user allowance?</w:t>
      </w:r>
    </w:p>
    <w:p>
      <w:r>
        <w:t>For Institution plans, the secondary user meter applies to named internal professional or administrative users who work across a caseload or administer the tenant, such as psychologists, clinicians, clinical or assessment administrators, tenant administrators and billing/operations roles. It does not turn every account into a paid seat: learner-linked collaborators remain included. The Family plan has zero billable internal-user capacity because professional participation is handled through bounded learner-linked collaboration rather than Family-employed staff seats.</w:t>
      </w:r>
    </w:p>
    <w:p>
      <w:r>
        <w:rPr>
          <w:b/>
          <w:color w:val="0F172A"/>
        </w:rPr>
        <w:t>What does a Family Tenant subscription cost?</w:t>
      </w:r>
    </w:p>
    <w:p>
      <w:r>
        <w:t>The current recommended Family list price is C$29 per month plus applicable tax and includes one active supported learner. Each additional active supported learner is C$10 per month. Parent/guardian/caregiver accounts, the learner account and reasonable learner-linked collaborators are included. The runtime uses tenant-specific approved commercial terms, so the signed subscription agreement remains authoritative.</w:t>
      </w:r>
    </w:p>
    <w:p>
      <w:r>
        <w:rPr>
          <w:b/>
          <w:color w:val="0F172A"/>
        </w:rPr>
        <w:t>Is there an annual Family subscription discount?</w:t>
      </w:r>
    </w:p>
    <w:p>
      <w:r>
        <w:t>Not at this stage. The current Family commercial posture is monthly. Annual prepay, discount, refund and mid-term learner-change semantics are not represented as an approved public offer until those terms are implemented and contractually defined.</w:t>
      </w:r>
    </w:p>
    <w:p>
      <w:r>
        <w:rPr>
          <w:b/>
          <w:color w:val="0F172A"/>
        </w:rPr>
        <w:t>What does the recommended paid Family pilot cost?</w:t>
      </w:r>
    </w:p>
    <w:p>
      <w:r>
        <w:t>The recommended sponsor-paid Family Continuity Cohort Pilot is C$7,500 plus tax for 8 weeks, up to 15 Family Tenants/learners and one primary continuity/handoff workflow. The Expanded Family Cohort Pilot is C$12,500 plus tax for 12 weeks, up to 30 Family Tenants/learners and up to two workflows. Family subscription fees are C$0 during the sponsor-paid pilot, there is no automatic consumer renewal, and each family explicitly chooses whether to continue after the pilot.</w:t>
      </w:r>
    </w:p>
    <w:p>
      <w:r>
        <w:rPr>
          <w:b/>
          <w:color w:val="0F172A"/>
        </w:rPr>
        <w:t>Which services may be metered or separately scoped?</w:t>
      </w:r>
    </w:p>
    <w:p>
      <w:r>
        <w:t>Normal governed AI-native use is included in the subscription and customers are not billed by raw model token. Separately scoped variable-cost services can include SMS/high-volume notifications, meeting transcription or media processing, large document/evidence storage, dedicated hosting or residency, integrations, and exceptional bulk/high-volume, premium-model or customer-specific AI workloads when contractually agreed.</w:t>
      </w:r>
    </w:p>
    <w:p>
      <w:r>
        <w:rPr>
          <w:b/>
          <w:color w:val="0F172A"/>
        </w:rPr>
        <w:t>Is public pricing final?</w:t>
      </w:r>
    </w:p>
    <w:p>
      <w:r>
        <w:t>Published Family list and pilot prices describe the current approved commercial offer, not a substitute for the signed agreement. Taxes, customer-specific implementation/integration work, exceptional variable-cost services, negotiated institutional quantities and any approved pilot-to-subscription credit are confirmed in the proposal or subscription agreement.</w:t>
      </w:r>
    </w:p>
    <w:p>
      <w:pPr>
        <w:pStyle w:val="Heading1"/>
      </w:pPr>
      <w:r>
        <w:t>Accessibility</w:t>
      </w:r>
    </w:p>
    <w:p>
      <w:r>
        <w:rPr>
          <w:b/>
          <w:color w:val="0F172A"/>
        </w:rPr>
        <w:t>What is the accessibility posture?</w:t>
      </w:r>
    </w:p>
    <w:p>
      <w:r>
        <w:t>Accessibility is a product and brand requirement covering semantic structure, keyboard/focus expectations, contrast, touch-target and learner-profile considerations, and role-based testing. The product is not represented as independently certified WCAG-compliant until representative testing and any required independent review are completed.</w:t>
      </w:r>
    </w:p>
    <w:p>
      <w:pPr>
        <w:pStyle w:val="Heading1"/>
      </w:pPr>
      <w:r>
        <w:t>Learner devices</w:t>
      </w:r>
    </w:p>
    <w:p>
      <w:r>
        <w:rPr>
          <w:b/>
          <w:color w:val="0F172A"/>
        </w:rPr>
        <w:t>Does the learner need an installed mobile app?</w:t>
      </w:r>
    </w:p>
    <w:p>
      <w:r>
        <w:t>No native app is required for the baseline. A learner can use a responsive web/PWA surface launched through a short-lived QR code, short code or deep link. A native app is deferred unless pilots establish a specific MDM, kiosk, push, heavy-offline or hardware-control need.</w:t>
      </w:r>
    </w:p>
    <w:p>
      <w:r>
        <w:rPr>
          <w:b/>
          <w:color w:val="0F172A"/>
        </w:rPr>
        <w:t>Can the product work offline?</w:t>
      </w:r>
    </w:p>
    <w:p>
      <w:r>
        <w:t>The architecture supports a selective offline edge for approved learner/support activities, local queueing and synchronization. Only the minimum necessary data is cached; restricted records and complex administrative workflows remain online and server-governed.</w:t>
      </w:r>
    </w:p>
    <w:p>
      <w:pPr>
        <w:pStyle w:val="Heading1"/>
      </w:pPr>
      <w:r>
        <w:t>Procurement</w:t>
      </w:r>
    </w:p>
    <w:p>
      <w:r>
        <w:rPr>
          <w:b/>
          <w:color w:val="0F172A"/>
        </w:rPr>
        <w:t>Has the product completed customer market acceptance?</w:t>
      </w:r>
    </w:p>
    <w:p>
      <w:r>
        <w:t>Not yet. The Family Tenant implementation stream is software-implementation complete through its release-readiness phase, but Production acceptance still requires the exact-release UAT, privacy/security, durability, performance, rollback/recovery and independent release evidence. Adaptive Learner remains available for controlled pilot evaluation; paid-pilot evidence, reference customers and market-proven outcome claims remain to be established.</w:t>
      </w:r>
    </w:p>
    <w:p>
      <w:r>
        <w:rPr>
          <w:b/>
          <w:color w:val="0F172A"/>
        </w:rPr>
        <w:t>What does a paid Family pilot evaluate?</w:t>
      </w:r>
    </w:p>
    <w:p>
      <w:r>
        <w:t>The recommended cohort pilot evaluates the full continuity proposition: Family onboarding, learner longitudinal context, source-authority/provenance preservation, bounded professional collaboration, Family support activity, governed handoff, destination responsibility, next accountable action and acknowledgement. The sponsor and Adaptive Learner agree the participants, workflow scope, UAT posture, success measures and evidence before the pilot begins.</w:t>
      </w:r>
    </w:p>
    <w:p>
      <w:r>
        <w:rPr>
          <w:b/>
          <w:color w:val="0F172A"/>
        </w:rPr>
        <w:t>Does a paid pilot automatically turn into a subscription?</w:t>
      </w:r>
    </w:p>
    <w:p>
      <w:r>
        <w:t>No. Sponsor-paid Family pilots do not automatically renew individual Family subscriptions. Each family explicitly opts in to the current Family subscription or exits at the end of the pilot. Where included in the approved sponsor proposal, up to 50% of the pilot fee can be credited toward an institutional annual subscription signed within 30 days.</w:t>
      </w:r>
    </w:p>
    <w:p>
      <w:r>
        <w:rPr>
          <w:b/>
          <w:color w:val="0F172A"/>
        </w:rPr>
        <w:t>What evidence can be provided during diligence?</w:t>
      </w:r>
    </w:p>
    <w:p>
      <w:r>
        <w:t>Subject to confidentiality and relevance, diligence can include architecture and data-flow summaries, functional testing/UAT approach, deployment and recovery evidence, Family Tenant release-readiness evidence requirements, SOP/control index, provider/subprocessor information, access-control descriptions, AI-governance controls and customer-specific implementation documentation.</w:t>
      </w:r>
    </w:p>
    <w:p>
      <w:pPr>
        <w:pStyle w:val="Heading1"/>
      </w:pPr>
      <w:r>
        <w:t>Compliance</w:t>
      </w:r>
    </w:p>
    <w:p>
      <w:r>
        <w:rPr>
          <w:b/>
          <w:color w:val="0F172A"/>
        </w:rPr>
        <w:t>Which privacy and legal frameworks is Adaptive Learner designed to support?</w:t>
      </w:r>
    </w:p>
    <w:p>
      <w:r>
        <w:t>The platform is designed to support deployments operating under applicable Canadian and Saskatchewan privacy, information-management and electronic-transactions requirements. Applicability depends on the customer, data, purpose and deployment; compliance is not established by software architecture alone and requires contractual, policy, operating and legal review as applicable.</w:t>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w:hAnsi="Aptos"/>
      <w:b/>
      <w:bCs/>
      <w:color w:val="0F172A"/>
      <w:sz w:val="3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w:hAnsi="Aptos"/>
      <w:b/>
      <w:bCs/>
      <w:color w:val="0F766E"/>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ptos" w:hAnsi="Aptos"/>
      <w:b/>
      <w:bCs/>
      <w:color w:val="0F766E"/>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b/>
      <w:color w:val="0F172A"/>
      <w:spacing w:val="5"/>
      <w:kern w:val="28"/>
      <w:sz w:val="5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